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E" w:rsidRPr="00F1392E" w:rsidRDefault="00F1392E" w:rsidP="00F1392E">
      <w:pPr>
        <w:shd w:val="clear" w:color="auto" w:fill="575757"/>
        <w:spacing w:after="0" w:line="240" w:lineRule="auto"/>
        <w:jc w:val="both"/>
        <w:outlineLvl w:val="1"/>
        <w:rPr>
          <w:rFonts w:ascii="Verdana" w:eastAsia="Times New Roman" w:hAnsi="Verdana" w:cs="Arial"/>
          <w:caps/>
          <w:color w:val="FFFFFF"/>
          <w:kern w:val="36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caps/>
          <w:color w:val="FFFFFF"/>
          <w:kern w:val="36"/>
          <w:sz w:val="20"/>
          <w:szCs w:val="20"/>
          <w:lang w:eastAsia="it-IT"/>
        </w:rPr>
        <w:t>Partnership</w:t>
      </w:r>
    </w:p>
    <w:p w:rsidR="00F1392E" w:rsidRDefault="00F1392E" w:rsidP="00F1392E">
      <w:pPr>
        <w:spacing w:after="0" w:line="240" w:lineRule="auto"/>
        <w:jc w:val="both"/>
        <w:rPr>
          <w:rFonts w:ascii="Verdana" w:eastAsia="Times New Roman" w:hAnsi="Verdana" w:cs="Arial"/>
          <w:color w:val="575757"/>
          <w:sz w:val="20"/>
          <w:szCs w:val="20"/>
          <w:lang w:eastAsia="it-IT"/>
        </w:rPr>
      </w:pPr>
    </w:p>
    <w:p w:rsidR="00F1392E" w:rsidRPr="00F1392E" w:rsidRDefault="00F1392E" w:rsidP="00F13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Per garantire un'efficace attuazione della Garanzia Giovani, il Ministero del Lavoro ha avviato dei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partenariati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 con imprese e associazioni di imprese. La collaborazione tra soggetti pubblici e privati è diretta a realizzare un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network di sostegno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attivo e funzionale alla realizzazione delle misure previste. </w:t>
      </w:r>
    </w:p>
    <w:p w:rsidR="00F1392E" w:rsidRPr="00F1392E" w:rsidRDefault="00F1392E" w:rsidP="00F1392E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it-IT"/>
        </w:rPr>
      </w:pPr>
    </w:p>
    <w:p w:rsidR="00F1392E" w:rsidRPr="00F1392E" w:rsidRDefault="00F1392E" w:rsidP="00F13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Quali sono gli obiettivi delle partnership?</w:t>
      </w:r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Costruire un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sistema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coerente di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 xml:space="preserve">politiche attive 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>in modo integrato e coordinato tra  livello centrale e territoriale (</w:t>
      </w:r>
      <w:r w:rsidRPr="00F1392E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>Policy Network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>)</w:t>
      </w:r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Fornire un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supporto informativo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e di orientamento ai giovani, già a cominciare dal ciclo di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istruzione secondaria di primo grado</w:t>
      </w:r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Creare un network, con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effetto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'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moltiplicatore'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delle opportunità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di lavoro e formazione per i giovani</w:t>
      </w:r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Individuare le migliori prassi,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promuoverne la diffusione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e l'adozione tra i diversi soggetti, in sinergia con le linee guida nazionali</w:t>
      </w:r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Creare spazi di confronto comuni per l'implementazione del Programma, quali i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 xml:space="preserve">focus </w:t>
      </w:r>
      <w:proofErr w:type="spellStart"/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group</w:t>
      </w:r>
      <w:proofErr w:type="spellEnd"/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Potenziare la rete degli orientatori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, dei servizi per l'impiego e dei soggetti dell'istruzione e della formazione e migliorare il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match tra domanda e offerta</w:t>
      </w:r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>Promuovere e finanziare l'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autoimprenditorialità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, anche tramite politiche di agevolazione degli strumenti di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accesso al credito</w:t>
      </w:r>
    </w:p>
    <w:p w:rsidR="00F1392E" w:rsidRPr="00F1392E" w:rsidRDefault="00F1392E" w:rsidP="00F1392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Sensibilizzare le imprese a iniziative di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responsabilità sociale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legate alla Garanzia per i Giovani</w:t>
      </w:r>
    </w:p>
    <w:p w:rsidR="00F1392E" w:rsidRPr="00F1392E" w:rsidRDefault="00F1392E" w:rsidP="00F13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> </w:t>
      </w:r>
    </w:p>
    <w:p w:rsidR="00F1392E" w:rsidRPr="00F1392E" w:rsidRDefault="00F1392E" w:rsidP="00F13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Perché essere Partner</w:t>
      </w:r>
    </w:p>
    <w:p w:rsidR="00F1392E" w:rsidRPr="00F1392E" w:rsidRDefault="00F1392E" w:rsidP="00F1392E">
      <w:pPr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bookmarkStart w:id="0" w:name="_GoBack"/>
      <w:bookmarkEnd w:id="0"/>
    </w:p>
    <w:p w:rsidR="00F1392E" w:rsidRPr="00F1392E" w:rsidRDefault="00F1392E" w:rsidP="00F1392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>Per tutti gli attori istituzionali</w:t>
      </w:r>
      <w:r w:rsidRPr="00F1392E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>,</w:t>
      </w:r>
      <w:r w:rsidRPr="00F1392E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 sociali ed economici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significa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beneficiare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di un </w:t>
      </w:r>
      <w:proofErr w:type="spellStart"/>
      <w:r w:rsidRPr="00F1392E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>framework</w:t>
      </w:r>
      <w:proofErr w:type="spellEnd"/>
      <w:r w:rsidRPr="00F1392E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 xml:space="preserve"> 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>già avviato</w:t>
      </w:r>
      <w:r w:rsidRPr="00F1392E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 xml:space="preserve">,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 xml:space="preserve">creare nuove strategie 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efficaci d'intervento con ricadute positive sull'intera comunità,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 xml:space="preserve">aumentare la propria visibilità 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>in sinergia con gli strumenti e i canali di comunicazione del Programma</w:t>
      </w:r>
    </w:p>
    <w:p w:rsidR="00F1392E" w:rsidRPr="00F1392E" w:rsidRDefault="00F1392E" w:rsidP="00F1392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>Per le aziende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, usufruire di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bonus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per le assunzioni, trovare i candidati più idonei tramite il servizio di </w:t>
      </w:r>
      <w:proofErr w:type="spellStart"/>
      <w:r w:rsidRPr="00F1392E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>matching</w:t>
      </w:r>
      <w:proofErr w:type="spellEnd"/>
      <w:r w:rsidRPr="00F1392E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 xml:space="preserve"> 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>offerto dagli operatori del mercato del lavoro, beneficiare di strumenti di facilitazione di accesso al credito</w:t>
      </w:r>
    </w:p>
    <w:p w:rsidR="00F1392E" w:rsidRPr="00F1392E" w:rsidRDefault="00F1392E" w:rsidP="00F1392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>Per le parti sociali e il non profit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,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essere parte attiva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nella realizzazione della Garanzia per i Giovani, contribuendo all'individuazione dei bisogni dei giovani</w:t>
      </w:r>
    </w:p>
    <w:p w:rsidR="00F1392E" w:rsidRPr="00F1392E" w:rsidRDefault="00F1392E" w:rsidP="00F1392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>Per i soggetti dell'istruzione e della formazione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, </w:t>
      </w:r>
      <w:r w:rsidRPr="00F1392E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accrescere la propria competitività</w:t>
      </w: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 rispetto alle esigenze del mercato del lavoro</w:t>
      </w:r>
    </w:p>
    <w:p w:rsidR="00F1392E" w:rsidRPr="00F1392E" w:rsidRDefault="00F1392E" w:rsidP="00F13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Arial" w:eastAsia="Times New Roman" w:hAnsi="Arial" w:cs="Arial"/>
          <w:sz w:val="20"/>
          <w:szCs w:val="20"/>
          <w:lang w:eastAsia="it-IT"/>
        </w:rPr>
        <w:t>​</w:t>
      </w:r>
    </w:p>
    <w:p w:rsidR="00F1392E" w:rsidRPr="00F1392E" w:rsidRDefault="00F1392E" w:rsidP="00F139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noProof/>
          <w:sz w:val="20"/>
          <w:szCs w:val="20"/>
          <w:lang w:eastAsia="it-IT"/>
        </w:rPr>
        <w:drawing>
          <wp:inline distT="0" distB="0" distL="0" distR="0" wp14:anchorId="733CCB85" wp14:editId="7E589C95">
            <wp:extent cx="1069975" cy="1069975"/>
            <wp:effectExtent l="0" t="0" r="0" b="0"/>
            <wp:docPr id="2" name="Immagine 2" descr="Logo Confindustria Finmeccanic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nfindustria Finmeccanic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92E" w:rsidRPr="00F1392E" w:rsidRDefault="00F1392E" w:rsidP="00F1392E">
      <w:pPr>
        <w:spacing w:after="0" w:line="240" w:lineRule="auto"/>
        <w:outlineLvl w:val="1"/>
        <w:rPr>
          <w:rFonts w:ascii="Verdana" w:eastAsia="Times New Roman" w:hAnsi="Verdana" w:cs="Arial"/>
          <w:b/>
          <w:bCs/>
          <w:caps/>
          <w:kern w:val="36"/>
          <w:sz w:val="20"/>
          <w:szCs w:val="20"/>
          <w:lang w:eastAsia="it-IT"/>
        </w:rPr>
      </w:pPr>
      <w:hyperlink r:id="rId8" w:history="1">
        <w:r w:rsidRPr="00F1392E">
          <w:rPr>
            <w:rFonts w:ascii="Verdana" w:eastAsia="Times New Roman" w:hAnsi="Verdana" w:cs="Arial"/>
            <w:b/>
            <w:bCs/>
            <w:caps/>
            <w:kern w:val="36"/>
            <w:sz w:val="20"/>
            <w:szCs w:val="20"/>
            <w:lang w:eastAsia="it-IT"/>
          </w:rPr>
          <w:t>Confindustria e Finmeccanica</w:t>
        </w:r>
      </w:hyperlink>
    </w:p>
    <w:p w:rsidR="00F1392E" w:rsidRPr="00F1392E" w:rsidRDefault="00F1392E" w:rsidP="00F139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noProof/>
          <w:sz w:val="20"/>
          <w:szCs w:val="20"/>
          <w:lang w:eastAsia="it-IT"/>
        </w:rPr>
        <w:drawing>
          <wp:inline distT="0" distB="0" distL="0" distR="0" wp14:anchorId="49EE5BD9" wp14:editId="5846819A">
            <wp:extent cx="1069975" cy="1069975"/>
            <wp:effectExtent l="0" t="0" r="0" b="0"/>
            <wp:docPr id="1" name="Immagine 1" descr="Logo C.I.A. e A.G.I.A.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.I.A. e A.G.I.A.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92E" w:rsidRPr="00F1392E" w:rsidRDefault="00F1392E" w:rsidP="00F1392E">
      <w:pPr>
        <w:spacing w:after="0" w:line="240" w:lineRule="auto"/>
        <w:outlineLvl w:val="1"/>
        <w:rPr>
          <w:rFonts w:ascii="Verdana" w:eastAsia="Times New Roman" w:hAnsi="Verdana" w:cs="Arial"/>
          <w:b/>
          <w:bCs/>
          <w:caps/>
          <w:kern w:val="36"/>
          <w:sz w:val="20"/>
          <w:szCs w:val="20"/>
          <w:lang w:eastAsia="it-IT"/>
        </w:rPr>
      </w:pPr>
      <w:hyperlink r:id="rId11" w:history="1">
        <w:r w:rsidRPr="00F1392E">
          <w:rPr>
            <w:rFonts w:ascii="Verdana" w:eastAsia="Times New Roman" w:hAnsi="Verdana" w:cs="Arial"/>
            <w:b/>
            <w:bCs/>
            <w:caps/>
            <w:kern w:val="36"/>
            <w:sz w:val="20"/>
            <w:szCs w:val="20"/>
            <w:lang w:eastAsia="it-IT"/>
          </w:rPr>
          <w:t>C.I.A. e A.G.I.A.</w:t>
        </w:r>
      </w:hyperlink>
    </w:p>
    <w:p w:rsidR="00F1392E" w:rsidRPr="00F1392E" w:rsidRDefault="00F1392E" w:rsidP="00F1392E">
      <w:pPr>
        <w:shd w:val="clear" w:color="auto" w:fill="575757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it-IT"/>
        </w:rPr>
      </w:pPr>
      <w:r w:rsidRPr="00F1392E">
        <w:rPr>
          <w:rFonts w:ascii="Verdana" w:eastAsia="Times New Roman" w:hAnsi="Verdana" w:cs="Arial"/>
          <w:sz w:val="20"/>
          <w:szCs w:val="20"/>
          <w:lang w:eastAsia="it-IT"/>
        </w:rPr>
        <w:t xml:space="preserve">Garanzia giovani © 2014 - Tutti </w:t>
      </w:r>
    </w:p>
    <w:p w:rsidR="001C6509" w:rsidRPr="00F1392E" w:rsidRDefault="001C6509" w:rsidP="00F1392E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1C6509" w:rsidRPr="00F13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52AC"/>
    <w:multiLevelType w:val="multilevel"/>
    <w:tmpl w:val="8B3CE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CF7E36"/>
    <w:multiLevelType w:val="hybridMultilevel"/>
    <w:tmpl w:val="4448F6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9D20625"/>
    <w:multiLevelType w:val="multilevel"/>
    <w:tmpl w:val="F388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61537E"/>
    <w:multiLevelType w:val="hybridMultilevel"/>
    <w:tmpl w:val="7AC40C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2B46C2"/>
    <w:multiLevelType w:val="multilevel"/>
    <w:tmpl w:val="7D28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870D43"/>
    <w:multiLevelType w:val="multilevel"/>
    <w:tmpl w:val="C7F6D956"/>
    <w:lvl w:ilvl="0">
      <w:start w:val="1"/>
      <w:numFmt w:val="bullet"/>
      <w:lvlText w:val=""/>
      <w:lvlJc w:val="left"/>
      <w:pPr>
        <w:tabs>
          <w:tab w:val="num" w:pos="-810"/>
        </w:tabs>
        <w:ind w:left="-8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"/>
        </w:tabs>
        <w:ind w:left="-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16"/>
    <w:rsid w:val="001C6509"/>
    <w:rsid w:val="00D64916"/>
    <w:rsid w:val="00F1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1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1392E"/>
    <w:rPr>
      <w:b/>
      <w:bCs/>
    </w:rPr>
  </w:style>
  <w:style w:type="character" w:styleId="Enfasicorsivo">
    <w:name w:val="Emphasis"/>
    <w:basedOn w:val="Carpredefinitoparagrafo"/>
    <w:uiPriority w:val="20"/>
    <w:qFormat/>
    <w:rsid w:val="00F1392E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92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13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1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1392E"/>
    <w:rPr>
      <w:b/>
      <w:bCs/>
    </w:rPr>
  </w:style>
  <w:style w:type="character" w:styleId="Enfasicorsivo">
    <w:name w:val="Emphasis"/>
    <w:basedOn w:val="Carpredefinitoparagrafo"/>
    <w:uiPriority w:val="20"/>
    <w:qFormat/>
    <w:rsid w:val="00F1392E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92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13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3812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46">
                          <w:marLeft w:val="0"/>
                          <w:marRight w:val="39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50098">
                              <w:marLeft w:val="150"/>
                              <w:marRight w:val="10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17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8" w:space="0" w:color="FFFFFF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65497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83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0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9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796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554716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203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0" w:color="666666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520319">
                                                              <w:marLeft w:val="150"/>
                                                              <w:marRight w:val="15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3363744">
                                                                  <w:marLeft w:val="45"/>
                                                                  <w:marRight w:val="150"/>
                                                                  <w:marTop w:val="4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1522599">
                                                                  <w:marLeft w:val="19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070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0" w:color="666666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956262">
                                                              <w:marLeft w:val="150"/>
                                                              <w:marRight w:val="15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72840">
                                                                  <w:marLeft w:val="45"/>
                                                                  <w:marRight w:val="150"/>
                                                                  <w:marTop w:val="4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3380593">
                                                                  <w:marLeft w:val="19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2731905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ziagiovani.gov.it/Partnership/Partner/Pagine/Confindustria-Finmeccanica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ziagiovani.gov.it/Partnership/Partner/Pagine/Confindustria-Finmeccanica.aspx" TargetMode="External"/><Relationship Id="rId11" Type="http://schemas.openxmlformats.org/officeDocument/2006/relationships/hyperlink" Target="http://www.garanziagiovani.gov.it/Partnership/Partner/Pagine/CIAeAGIA.aspx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aranziagiovani.gov.it/Partnership/Partner/Pagine/CIAeAGIA.asp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3</cp:revision>
  <dcterms:created xsi:type="dcterms:W3CDTF">2014-05-03T10:36:00Z</dcterms:created>
  <dcterms:modified xsi:type="dcterms:W3CDTF">2014-05-03T10:38:00Z</dcterms:modified>
</cp:coreProperties>
</file>