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3C1" w:rsidRPr="006B33C1" w:rsidRDefault="006B33C1" w:rsidP="006B33C1">
      <w:pPr>
        <w:shd w:val="clear" w:color="auto" w:fill="FFFFFF"/>
        <w:spacing w:after="0" w:line="162" w:lineRule="atLeast"/>
        <w:jc w:val="center"/>
        <w:rPr>
          <w:rFonts w:ascii="Verdana" w:eastAsia="Times New Roman" w:hAnsi="Verdana" w:cs="Arial"/>
          <w:color w:val="000000"/>
          <w:sz w:val="20"/>
          <w:szCs w:val="20"/>
          <w:lang w:eastAsia="it-IT"/>
        </w:rPr>
      </w:pPr>
      <w:r w:rsidRPr="006B33C1">
        <w:rPr>
          <w:rFonts w:ascii="Verdana" w:eastAsia="Times New Roman" w:hAnsi="Verdana" w:cs="Arial"/>
          <w:b/>
          <w:bCs/>
          <w:color w:val="000000"/>
          <w:sz w:val="20"/>
          <w:szCs w:val="20"/>
          <w:lang w:eastAsia="it-IT"/>
        </w:rPr>
        <w:t xml:space="preserve">Linee Guida per Poli tecnico-professionali e </w:t>
      </w:r>
      <w:proofErr w:type="spellStart"/>
      <w:r w:rsidRPr="006B33C1">
        <w:rPr>
          <w:rFonts w:ascii="Verdana" w:eastAsia="Times New Roman" w:hAnsi="Verdana" w:cs="Arial"/>
          <w:b/>
          <w:bCs/>
          <w:color w:val="000000"/>
          <w:sz w:val="20"/>
          <w:szCs w:val="20"/>
          <w:lang w:eastAsia="it-IT"/>
        </w:rPr>
        <w:t>I.T.S.</w:t>
      </w:r>
      <w:proofErr w:type="spellEnd"/>
    </w:p>
    <w:p w:rsidR="00BE605E" w:rsidRDefault="00BE605E" w:rsidP="006B33C1">
      <w:pPr>
        <w:shd w:val="clear" w:color="auto" w:fill="FFFFFF"/>
        <w:spacing w:after="0" w:line="162" w:lineRule="atLeast"/>
        <w:jc w:val="right"/>
        <w:rPr>
          <w:rFonts w:ascii="Verdana" w:eastAsia="Times New Roman" w:hAnsi="Verdana" w:cs="Arial"/>
          <w:color w:val="000000"/>
          <w:sz w:val="20"/>
          <w:szCs w:val="20"/>
          <w:lang w:eastAsia="it-IT"/>
        </w:rPr>
      </w:pPr>
    </w:p>
    <w:p w:rsidR="00BE605E" w:rsidRDefault="00BE605E" w:rsidP="00BE605E">
      <w:pPr>
        <w:shd w:val="clear" w:color="auto" w:fill="FFFFFF"/>
        <w:spacing w:after="0" w:line="162" w:lineRule="atLeast"/>
        <w:jc w:val="center"/>
        <w:rPr>
          <w:rFonts w:ascii="Verdana" w:eastAsia="Times New Roman" w:hAnsi="Verdana" w:cs="Arial"/>
          <w:color w:val="000000"/>
          <w:sz w:val="20"/>
          <w:szCs w:val="20"/>
          <w:lang w:eastAsia="it-IT"/>
        </w:rPr>
      </w:pPr>
      <w:r>
        <w:rPr>
          <w:rFonts w:ascii="Verdana" w:eastAsia="Times New Roman" w:hAnsi="Verdana" w:cs="Arial"/>
          <w:color w:val="000000"/>
          <w:sz w:val="20"/>
          <w:szCs w:val="20"/>
          <w:lang w:eastAsia="it-IT"/>
        </w:rPr>
        <w:t xml:space="preserve">Comunicato Stampa </w:t>
      </w:r>
    </w:p>
    <w:p w:rsidR="006B33C1" w:rsidRPr="006B33C1" w:rsidRDefault="006B33C1" w:rsidP="00BE605E">
      <w:pPr>
        <w:shd w:val="clear" w:color="auto" w:fill="FFFFFF"/>
        <w:spacing w:after="0" w:line="162" w:lineRule="atLeast"/>
        <w:jc w:val="center"/>
        <w:rPr>
          <w:rFonts w:ascii="Verdana" w:eastAsia="Times New Roman" w:hAnsi="Verdana" w:cs="Arial"/>
          <w:color w:val="000000"/>
          <w:sz w:val="20"/>
          <w:szCs w:val="20"/>
          <w:lang w:eastAsia="it-IT"/>
        </w:rPr>
      </w:pPr>
      <w:r w:rsidRPr="006B33C1">
        <w:rPr>
          <w:rFonts w:ascii="Verdana" w:eastAsia="Times New Roman" w:hAnsi="Verdana" w:cs="Arial"/>
          <w:color w:val="000000"/>
          <w:sz w:val="20"/>
          <w:szCs w:val="20"/>
          <w:lang w:eastAsia="it-IT"/>
        </w:rPr>
        <w:t xml:space="preserve">Roma, 27 </w:t>
      </w:r>
      <w:r>
        <w:rPr>
          <w:rFonts w:ascii="Verdana" w:eastAsia="Times New Roman" w:hAnsi="Verdana" w:cs="Arial"/>
          <w:color w:val="000000"/>
          <w:sz w:val="20"/>
          <w:szCs w:val="20"/>
          <w:lang w:eastAsia="it-IT"/>
        </w:rPr>
        <w:t xml:space="preserve">settembre </w:t>
      </w:r>
      <w:r w:rsidRPr="006B33C1">
        <w:rPr>
          <w:rFonts w:ascii="Verdana" w:eastAsia="Times New Roman" w:hAnsi="Verdana" w:cs="Arial"/>
          <w:color w:val="000000"/>
          <w:sz w:val="20"/>
          <w:szCs w:val="20"/>
          <w:lang w:eastAsia="it-IT"/>
        </w:rPr>
        <w:t>2012</w:t>
      </w:r>
    </w:p>
    <w:p w:rsidR="006B33C1" w:rsidRDefault="006B33C1" w:rsidP="006B33C1">
      <w:pPr>
        <w:shd w:val="clear" w:color="auto" w:fill="FFFFFF"/>
        <w:spacing w:after="0" w:line="162" w:lineRule="atLeast"/>
        <w:jc w:val="both"/>
        <w:rPr>
          <w:rFonts w:ascii="Verdana" w:eastAsia="Times New Roman" w:hAnsi="Verdana" w:cs="Arial"/>
          <w:color w:val="000000"/>
          <w:sz w:val="20"/>
          <w:szCs w:val="20"/>
          <w:lang w:eastAsia="it-IT"/>
        </w:rPr>
      </w:pPr>
    </w:p>
    <w:p w:rsidR="006B33C1" w:rsidRPr="00765C23" w:rsidRDefault="006B33C1" w:rsidP="006B33C1">
      <w:pPr>
        <w:shd w:val="clear" w:color="auto" w:fill="FFFFFF"/>
        <w:spacing w:after="0" w:line="162" w:lineRule="atLeast"/>
        <w:jc w:val="both"/>
        <w:rPr>
          <w:rFonts w:ascii="Verdana" w:eastAsia="Times New Roman" w:hAnsi="Verdana" w:cs="Arial"/>
          <w:color w:val="000000"/>
          <w:sz w:val="18"/>
          <w:szCs w:val="18"/>
          <w:lang w:eastAsia="it-IT"/>
        </w:rPr>
      </w:pPr>
      <w:r w:rsidRPr="00765C23">
        <w:rPr>
          <w:rFonts w:ascii="Verdana" w:eastAsia="Times New Roman" w:hAnsi="Verdana" w:cs="Arial"/>
          <w:color w:val="000000"/>
          <w:sz w:val="18"/>
          <w:szCs w:val="18"/>
          <w:lang w:eastAsia="it-IT"/>
        </w:rPr>
        <w:t>Stato, Regioni e Autonomie locali hanno raggiunto ieri un’importante intesa sulle Linee Guida per consolidare e sviluppare i rapporti tra istituti tecnici, istituti professionali, centri di formazione professionale e imprese, con la definizione della “mappa” per collegare filiere formative e filiere produttive, la costituzione dei Poli tecnico-professionali a livello provinciale e il potenziamento del’autonomia e del ruolo degli Istituti tecnici Superiori (</w:t>
      </w:r>
      <w:proofErr w:type="spellStart"/>
      <w:r w:rsidRPr="00765C23">
        <w:rPr>
          <w:rFonts w:ascii="Verdana" w:eastAsia="Times New Roman" w:hAnsi="Verdana" w:cs="Arial"/>
          <w:color w:val="000000"/>
          <w:sz w:val="18"/>
          <w:szCs w:val="18"/>
          <w:lang w:eastAsia="it-IT"/>
        </w:rPr>
        <w:t>I.T.S.</w:t>
      </w:r>
      <w:proofErr w:type="spellEnd"/>
      <w:r w:rsidRPr="00765C23">
        <w:rPr>
          <w:rFonts w:ascii="Verdana" w:eastAsia="Times New Roman" w:hAnsi="Verdana" w:cs="Arial"/>
          <w:color w:val="000000"/>
          <w:sz w:val="18"/>
          <w:szCs w:val="18"/>
          <w:lang w:eastAsia="it-IT"/>
        </w:rPr>
        <w:t xml:space="preserve">). </w:t>
      </w:r>
    </w:p>
    <w:p w:rsidR="006B33C1" w:rsidRPr="00765C23" w:rsidRDefault="006B33C1" w:rsidP="006B33C1">
      <w:pPr>
        <w:shd w:val="clear" w:color="auto" w:fill="FFFFFF"/>
        <w:spacing w:after="0" w:line="162" w:lineRule="atLeast"/>
        <w:jc w:val="both"/>
        <w:rPr>
          <w:rFonts w:ascii="Verdana" w:eastAsia="Times New Roman" w:hAnsi="Verdana" w:cs="Arial"/>
          <w:color w:val="000000"/>
          <w:sz w:val="18"/>
          <w:szCs w:val="18"/>
          <w:lang w:eastAsia="it-IT"/>
        </w:rPr>
      </w:pPr>
      <w:r w:rsidRPr="00765C23">
        <w:rPr>
          <w:rFonts w:ascii="Verdana" w:eastAsia="Times New Roman" w:hAnsi="Verdana" w:cs="Arial"/>
          <w:color w:val="000000"/>
          <w:sz w:val="18"/>
          <w:szCs w:val="18"/>
          <w:lang w:eastAsia="it-IT"/>
        </w:rPr>
        <w:br/>
        <w:t>Il relativo decreto, che giunge dopo pochi mesi dall’entrata in vigore dell’articolo 52 della legge n.35/2012, è stato condiviso dal MIUR con il Ministero del lavoro e politiche sociali, il Ministero dello sviluppo economico e il Ministero dell’economia, perché l’istruzione tecnica e professionale, attraverso un impegno comune, possa offrire più opportunità di occupazione per i giovani e per la crescita del sistema produttivo del Paese.</w:t>
      </w:r>
    </w:p>
    <w:p w:rsidR="006B33C1" w:rsidRPr="00765C23" w:rsidRDefault="006B33C1" w:rsidP="006B33C1">
      <w:pPr>
        <w:shd w:val="clear" w:color="auto" w:fill="FFFFFF"/>
        <w:spacing w:after="0" w:line="162" w:lineRule="atLeast"/>
        <w:jc w:val="both"/>
        <w:rPr>
          <w:rFonts w:ascii="Verdana" w:eastAsia="Times New Roman" w:hAnsi="Verdana" w:cs="Arial"/>
          <w:color w:val="000000"/>
          <w:sz w:val="18"/>
          <w:szCs w:val="18"/>
          <w:lang w:eastAsia="it-IT"/>
        </w:rPr>
      </w:pPr>
      <w:r w:rsidRPr="00765C23">
        <w:rPr>
          <w:rFonts w:ascii="Verdana" w:eastAsia="Times New Roman" w:hAnsi="Verdana" w:cs="Arial"/>
          <w:color w:val="000000"/>
          <w:sz w:val="18"/>
          <w:szCs w:val="18"/>
          <w:lang w:eastAsia="it-IT"/>
        </w:rPr>
        <w:br/>
        <w:t xml:space="preserve">La mappa visualizza i collegamenti tra aree economiche e professionali, filiere produttive, cluster tecnologici, aree tecnologiche, ambiti e figure degli </w:t>
      </w:r>
      <w:proofErr w:type="spellStart"/>
      <w:r w:rsidRPr="00765C23">
        <w:rPr>
          <w:rFonts w:ascii="Verdana" w:eastAsia="Times New Roman" w:hAnsi="Verdana" w:cs="Arial"/>
          <w:color w:val="000000"/>
          <w:sz w:val="18"/>
          <w:szCs w:val="18"/>
          <w:lang w:eastAsia="it-IT"/>
        </w:rPr>
        <w:t>I.T.S.</w:t>
      </w:r>
      <w:proofErr w:type="spellEnd"/>
      <w:r w:rsidRPr="00765C23">
        <w:rPr>
          <w:rFonts w:ascii="Verdana" w:eastAsia="Times New Roman" w:hAnsi="Verdana" w:cs="Arial"/>
          <w:color w:val="000000"/>
          <w:sz w:val="18"/>
          <w:szCs w:val="18"/>
          <w:lang w:eastAsia="it-IT"/>
        </w:rPr>
        <w:t>, indirizzi degli istituti tecnici e degli istituti professionali, diplomi e qualifiche professionali. In questo modo i giovani e le loro famiglie, i soggetti del territorio e le imprese hanno – finalmente - una bussola per orientarsi.</w:t>
      </w:r>
    </w:p>
    <w:p w:rsidR="006B33C1" w:rsidRPr="00765C23" w:rsidRDefault="006B33C1" w:rsidP="006B33C1">
      <w:pPr>
        <w:shd w:val="clear" w:color="auto" w:fill="FFFFFF"/>
        <w:spacing w:after="0" w:line="162" w:lineRule="atLeast"/>
        <w:jc w:val="both"/>
        <w:rPr>
          <w:rFonts w:ascii="Verdana" w:eastAsia="Times New Roman" w:hAnsi="Verdana" w:cs="Arial"/>
          <w:color w:val="000000"/>
          <w:sz w:val="18"/>
          <w:szCs w:val="18"/>
          <w:lang w:eastAsia="it-IT"/>
        </w:rPr>
      </w:pPr>
      <w:r w:rsidRPr="00765C23">
        <w:rPr>
          <w:rFonts w:ascii="Verdana" w:eastAsia="Times New Roman" w:hAnsi="Verdana" w:cs="Arial"/>
          <w:color w:val="000000"/>
          <w:sz w:val="18"/>
          <w:szCs w:val="18"/>
          <w:lang w:eastAsia="it-IT"/>
        </w:rPr>
        <w:br/>
        <w:t>Le Linee guida contengono gli standard per realizzare i Poli tecnico professionali, definiti a distanza di cinque anni dall’attuazione delle norme contenute all’articolo 13 della legge n. 40/2007, volute al tempo dai ministri Fioroni e Bersani, - ma rimasti sinora sulla carta. I Poli sono reti tra istituti tecnici e professionali, centri di formazione professionale accreditati e imprese per favorire lo sviluppo della cultura tecnica e scientifica, l’occupazione dei giovani anche attraverso i percorsi in apprendistato e nuovi modelli organizzativi, come le scuole bottega e le piazze dei mestieri, di cui vi sono già alcune positive esperienze pilota in Lombardia e in Piemonte.</w:t>
      </w:r>
    </w:p>
    <w:p w:rsidR="006B33C1" w:rsidRPr="00765C23" w:rsidRDefault="006B33C1" w:rsidP="006B33C1">
      <w:pPr>
        <w:shd w:val="clear" w:color="auto" w:fill="FFFFFF"/>
        <w:spacing w:after="0" w:line="162" w:lineRule="atLeast"/>
        <w:jc w:val="both"/>
        <w:rPr>
          <w:rFonts w:ascii="Verdana" w:eastAsia="Times New Roman" w:hAnsi="Verdana" w:cs="Arial"/>
          <w:color w:val="000000"/>
          <w:sz w:val="18"/>
          <w:szCs w:val="18"/>
          <w:lang w:eastAsia="it-IT"/>
        </w:rPr>
      </w:pPr>
      <w:r w:rsidRPr="00765C23">
        <w:rPr>
          <w:rFonts w:ascii="Verdana" w:eastAsia="Times New Roman" w:hAnsi="Verdana" w:cs="Arial"/>
          <w:color w:val="000000"/>
          <w:sz w:val="18"/>
          <w:szCs w:val="18"/>
          <w:lang w:eastAsia="it-IT"/>
        </w:rPr>
        <w:br/>
        <w:t>Con il decreto, oggetto della raggiunta intesa, viene fissata anche la composizione delle commissioni che esamineranno, a partire dal prossimo mese di giugno, gli studenti a conclusione dei percorsi biennali degli istituti tecnici superiori già funzionanti.</w:t>
      </w:r>
    </w:p>
    <w:p w:rsidR="006B33C1" w:rsidRPr="00765C23" w:rsidRDefault="006B33C1" w:rsidP="006B33C1">
      <w:pPr>
        <w:shd w:val="clear" w:color="auto" w:fill="FFFFFF"/>
        <w:spacing w:after="0" w:line="162" w:lineRule="atLeast"/>
        <w:jc w:val="both"/>
        <w:rPr>
          <w:rFonts w:ascii="Verdana" w:eastAsia="Times New Roman" w:hAnsi="Verdana" w:cs="Arial"/>
          <w:color w:val="000000"/>
          <w:sz w:val="18"/>
          <w:szCs w:val="18"/>
          <w:lang w:eastAsia="it-IT"/>
        </w:rPr>
      </w:pPr>
      <w:r w:rsidRPr="00765C23">
        <w:rPr>
          <w:rFonts w:ascii="Verdana" w:eastAsia="Times New Roman" w:hAnsi="Verdana" w:cs="Arial"/>
          <w:color w:val="000000"/>
          <w:sz w:val="18"/>
          <w:szCs w:val="18"/>
          <w:lang w:eastAsia="it-IT"/>
        </w:rPr>
        <w:br/>
        <w:t xml:space="preserve">Nella fase 2009/2011 sono state già costituite 62 Fondazioni ITS che hanno attivato 80 percorsi, ai quali si aggiungono 71 nuove classi prime nel corrente anno scolastico. Si farà a tutti un </w:t>
      </w:r>
      <w:proofErr w:type="spellStart"/>
      <w:r w:rsidRPr="00765C23">
        <w:rPr>
          <w:rFonts w:ascii="Verdana" w:eastAsia="Times New Roman" w:hAnsi="Verdana" w:cs="Arial"/>
          <w:color w:val="000000"/>
          <w:sz w:val="18"/>
          <w:szCs w:val="18"/>
          <w:lang w:eastAsia="it-IT"/>
        </w:rPr>
        <w:t>check</w:t>
      </w:r>
      <w:proofErr w:type="spellEnd"/>
      <w:r w:rsidRPr="00765C23">
        <w:rPr>
          <w:rFonts w:ascii="Verdana" w:eastAsia="Times New Roman" w:hAnsi="Verdana" w:cs="Arial"/>
          <w:color w:val="000000"/>
          <w:sz w:val="18"/>
          <w:szCs w:val="18"/>
          <w:lang w:eastAsia="it-IT"/>
        </w:rPr>
        <w:t xml:space="preserve"> up per consolidare e sviluppare quelli che hanno già dimostrato di rispondere alle esigenze del mondo del lavoro e istituirne nuovi, ove è richiesto dalle imprese. Lo specifico Fondo, istituito con la legge finanziaria 2007, è stato dotato, per la prima volta con la recente legge n.135/2012, di un contributo stabile del MIUR, pari a 14 milioni di euro a partire dal 2013, in modo che i percorsi di specializzazione tecnica superiore degli ITS vadano a regime dal prossimo anno. Non ci potrà comunque essere, in ciascuna regione, più di un istituto tecnico superiore in relazione agli ambiti tecnologici indicati nella mappa, allo scopo di evitare inutili duplicazioni e integrare meglio tutte le risorse pubbliche e private disponibili sul territorio. </w:t>
      </w:r>
    </w:p>
    <w:p w:rsidR="006B33C1" w:rsidRPr="00765C23" w:rsidRDefault="006B33C1" w:rsidP="006B33C1">
      <w:pPr>
        <w:shd w:val="clear" w:color="auto" w:fill="FFFFFF"/>
        <w:spacing w:after="0" w:line="162" w:lineRule="atLeast"/>
        <w:jc w:val="both"/>
        <w:rPr>
          <w:rFonts w:ascii="Verdana" w:eastAsia="Times New Roman" w:hAnsi="Verdana" w:cs="Arial"/>
          <w:color w:val="000000"/>
          <w:sz w:val="18"/>
          <w:szCs w:val="18"/>
          <w:lang w:eastAsia="it-IT"/>
        </w:rPr>
      </w:pPr>
      <w:r w:rsidRPr="00765C23">
        <w:rPr>
          <w:rFonts w:ascii="Verdana" w:eastAsia="Times New Roman" w:hAnsi="Verdana" w:cs="Arial"/>
          <w:color w:val="000000"/>
          <w:sz w:val="18"/>
          <w:szCs w:val="18"/>
          <w:lang w:eastAsia="it-IT"/>
        </w:rPr>
        <w:br/>
        <w:t xml:space="preserve">Anche il Presidente della Repubblica, in occasione dell’apertura ufficiale dell’anno scolastico al Quirinale, ha elogiato le misure per collegare l'istruzione agli sbocchi lavorativi, per potenziare l'istruzione tecnica e la formazione professionale superiore in relazione alla realtà e produttività del Paese. Soprattutto ha posto l’accento sulla necessità di rafforzare l’istruzione tecnica superiore, dando più autonomia e ruolo agli Istituti Tecnici Superiori (ITS), quali scuole speciali di tecnologia che devono rispondere a rigorosi standard per l’accesso ai contribuiti del Ministero dell’Istruzione e per il riconoscimento del Diploma di Tecnico Superiore. </w:t>
      </w:r>
    </w:p>
    <w:p w:rsidR="00765C23" w:rsidRDefault="00765C23" w:rsidP="00D8379F">
      <w:pPr>
        <w:shd w:val="clear" w:color="auto" w:fill="FFFFFF"/>
        <w:spacing w:after="0" w:line="162" w:lineRule="atLeast"/>
        <w:jc w:val="both"/>
        <w:rPr>
          <w:rFonts w:ascii="Verdana" w:eastAsia="Times New Roman" w:hAnsi="Verdana" w:cs="Arial"/>
          <w:b/>
          <w:color w:val="000000"/>
          <w:sz w:val="18"/>
          <w:szCs w:val="18"/>
          <w:lang w:eastAsia="it-IT"/>
        </w:rPr>
      </w:pPr>
    </w:p>
    <w:p w:rsidR="00D8379F" w:rsidRPr="00765C23" w:rsidRDefault="00D8379F" w:rsidP="00D8379F">
      <w:pPr>
        <w:shd w:val="clear" w:color="auto" w:fill="FFFFFF"/>
        <w:spacing w:after="0" w:line="162" w:lineRule="atLeast"/>
        <w:jc w:val="both"/>
        <w:rPr>
          <w:rFonts w:ascii="Verdana" w:eastAsia="Times New Roman" w:hAnsi="Verdana" w:cs="Arial"/>
          <w:b/>
          <w:color w:val="000000"/>
          <w:sz w:val="18"/>
          <w:szCs w:val="18"/>
          <w:lang w:eastAsia="it-IT"/>
        </w:rPr>
      </w:pPr>
      <w:r w:rsidRPr="00765C23">
        <w:rPr>
          <w:rFonts w:ascii="Verdana" w:eastAsia="Times New Roman" w:hAnsi="Verdana" w:cs="Arial"/>
          <w:b/>
          <w:color w:val="000000"/>
          <w:sz w:val="18"/>
          <w:szCs w:val="18"/>
          <w:lang w:eastAsia="it-IT"/>
        </w:rPr>
        <w:t>Allegati</w:t>
      </w:r>
    </w:p>
    <w:p w:rsidR="00765C23" w:rsidRDefault="00765C23" w:rsidP="006B33C1">
      <w:pPr>
        <w:shd w:val="clear" w:color="auto" w:fill="FFFFFF"/>
        <w:spacing w:after="0" w:line="162" w:lineRule="atLeast"/>
        <w:jc w:val="both"/>
        <w:rPr>
          <w:rFonts w:ascii="Verdana" w:eastAsia="Times New Roman" w:hAnsi="Verdana" w:cs="Arial"/>
          <w:color w:val="000000"/>
          <w:sz w:val="18"/>
          <w:szCs w:val="18"/>
          <w:lang w:eastAsia="it-IT"/>
        </w:rPr>
      </w:pPr>
      <w:r>
        <w:rPr>
          <w:rFonts w:ascii="Verdana" w:eastAsia="Times New Roman" w:hAnsi="Verdana" w:cs="Arial"/>
          <w:color w:val="000000"/>
          <w:sz w:val="18"/>
          <w:szCs w:val="18"/>
          <w:lang w:eastAsia="it-IT"/>
        </w:rPr>
        <w:t xml:space="preserve">Schema decreto art. 52 </w:t>
      </w:r>
    </w:p>
    <w:p w:rsidR="00765C23" w:rsidRPr="00765C23" w:rsidRDefault="00D8379F" w:rsidP="006B33C1">
      <w:pPr>
        <w:shd w:val="clear" w:color="auto" w:fill="FFFFFF"/>
        <w:spacing w:after="0" w:line="162" w:lineRule="atLeast"/>
        <w:jc w:val="both"/>
        <w:rPr>
          <w:rFonts w:ascii="Verdana" w:eastAsia="Times New Roman" w:hAnsi="Verdana" w:cs="Arial"/>
          <w:color w:val="000000"/>
          <w:sz w:val="18"/>
          <w:szCs w:val="18"/>
          <w:lang w:eastAsia="it-IT"/>
        </w:rPr>
      </w:pPr>
      <w:r w:rsidRPr="00765C23">
        <w:rPr>
          <w:rFonts w:ascii="Verdana" w:eastAsia="Times New Roman" w:hAnsi="Verdana" w:cs="Arial"/>
          <w:color w:val="000000"/>
          <w:sz w:val="18"/>
          <w:szCs w:val="18"/>
          <w:lang w:eastAsia="it-IT"/>
        </w:rPr>
        <w:t xml:space="preserve">Allegato A </w:t>
      </w:r>
      <w:r w:rsidR="00765C23">
        <w:rPr>
          <w:rFonts w:ascii="Verdana" w:eastAsia="Times New Roman" w:hAnsi="Verdana" w:cs="Arial"/>
          <w:color w:val="000000"/>
          <w:sz w:val="18"/>
          <w:szCs w:val="18"/>
          <w:lang w:eastAsia="it-IT"/>
        </w:rPr>
        <w:t xml:space="preserve">– Linee Guida (indice) </w:t>
      </w:r>
    </w:p>
    <w:p w:rsidR="00765C23" w:rsidRPr="00765C23" w:rsidRDefault="00D8379F" w:rsidP="006B33C1">
      <w:pPr>
        <w:shd w:val="clear" w:color="auto" w:fill="FFFFFF"/>
        <w:spacing w:after="0" w:line="162" w:lineRule="atLeast"/>
        <w:jc w:val="both"/>
        <w:rPr>
          <w:rFonts w:ascii="Verdana" w:eastAsia="Times New Roman" w:hAnsi="Verdana" w:cs="Arial"/>
          <w:color w:val="000000"/>
          <w:sz w:val="18"/>
          <w:szCs w:val="18"/>
          <w:lang w:eastAsia="it-IT"/>
        </w:rPr>
      </w:pPr>
      <w:r w:rsidRPr="00765C23">
        <w:rPr>
          <w:rFonts w:ascii="Verdana" w:eastAsia="Times New Roman" w:hAnsi="Verdana" w:cs="Arial"/>
          <w:color w:val="000000"/>
          <w:sz w:val="18"/>
          <w:szCs w:val="18"/>
          <w:lang w:eastAsia="it-IT"/>
        </w:rPr>
        <w:t xml:space="preserve">Allegato B </w:t>
      </w:r>
      <w:r w:rsidR="00765C23">
        <w:rPr>
          <w:rFonts w:ascii="Verdana" w:eastAsia="Times New Roman" w:hAnsi="Verdana" w:cs="Arial"/>
          <w:color w:val="000000"/>
          <w:sz w:val="18"/>
          <w:szCs w:val="18"/>
          <w:lang w:eastAsia="it-IT"/>
        </w:rPr>
        <w:t xml:space="preserve">– Tabella comparazione tra sistema formativo e sistema produttivo </w:t>
      </w:r>
    </w:p>
    <w:p w:rsidR="00765C23" w:rsidRDefault="00D8379F" w:rsidP="006B33C1">
      <w:pPr>
        <w:shd w:val="clear" w:color="auto" w:fill="FFFFFF"/>
        <w:spacing w:after="0" w:line="162" w:lineRule="atLeast"/>
        <w:jc w:val="both"/>
        <w:rPr>
          <w:rFonts w:ascii="Verdana" w:eastAsia="Times New Roman" w:hAnsi="Verdana" w:cs="Arial"/>
          <w:color w:val="000000"/>
          <w:sz w:val="18"/>
          <w:szCs w:val="18"/>
          <w:lang w:eastAsia="it-IT"/>
        </w:rPr>
      </w:pPr>
      <w:r w:rsidRPr="00765C23">
        <w:rPr>
          <w:rFonts w:ascii="Verdana" w:eastAsia="Times New Roman" w:hAnsi="Verdana" w:cs="Arial"/>
          <w:color w:val="000000"/>
          <w:sz w:val="18"/>
          <w:szCs w:val="18"/>
          <w:lang w:eastAsia="it-IT"/>
        </w:rPr>
        <w:t xml:space="preserve">Allegato C </w:t>
      </w:r>
      <w:r w:rsidR="00765C23">
        <w:rPr>
          <w:rFonts w:ascii="Verdana" w:eastAsia="Times New Roman" w:hAnsi="Verdana" w:cs="Arial"/>
          <w:color w:val="000000"/>
          <w:sz w:val="18"/>
          <w:szCs w:val="18"/>
          <w:lang w:eastAsia="it-IT"/>
        </w:rPr>
        <w:t xml:space="preserve">- </w:t>
      </w:r>
      <w:r w:rsidR="00765C23" w:rsidRPr="00765C23">
        <w:rPr>
          <w:rFonts w:ascii="Verdana" w:eastAsia="Times New Roman" w:hAnsi="Verdana" w:cs="Arial"/>
          <w:color w:val="000000"/>
          <w:sz w:val="18"/>
          <w:szCs w:val="18"/>
          <w:lang w:eastAsia="it-IT"/>
        </w:rPr>
        <w:t>Standard minimi per la costituzione dei Poli tecnico-professionali</w:t>
      </w:r>
    </w:p>
    <w:p w:rsidR="00765C23" w:rsidRDefault="00D8379F" w:rsidP="00765C23">
      <w:pPr>
        <w:pStyle w:val="Default"/>
      </w:pPr>
      <w:r w:rsidRPr="00765C23">
        <w:rPr>
          <w:rFonts w:ascii="Verdana" w:eastAsia="Times New Roman" w:hAnsi="Verdana"/>
          <w:sz w:val="18"/>
          <w:szCs w:val="18"/>
          <w:lang w:eastAsia="it-IT"/>
        </w:rPr>
        <w:t xml:space="preserve">Allegato D </w:t>
      </w:r>
      <w:r w:rsidR="00765C23">
        <w:rPr>
          <w:rFonts w:ascii="Verdana" w:eastAsia="Times New Roman" w:hAnsi="Verdana"/>
          <w:sz w:val="18"/>
          <w:szCs w:val="18"/>
          <w:lang w:eastAsia="it-IT"/>
        </w:rPr>
        <w:t xml:space="preserve">– Organizzazione delle commissioni di esame </w:t>
      </w:r>
    </w:p>
    <w:p w:rsidR="00765C23" w:rsidRPr="00765C23" w:rsidRDefault="00D8379F" w:rsidP="006B33C1">
      <w:pPr>
        <w:shd w:val="clear" w:color="auto" w:fill="FFFFFF"/>
        <w:spacing w:after="0" w:line="162" w:lineRule="atLeast"/>
        <w:jc w:val="both"/>
        <w:rPr>
          <w:rFonts w:ascii="Verdana" w:eastAsia="Times New Roman" w:hAnsi="Verdana" w:cs="Arial"/>
          <w:color w:val="000000"/>
          <w:sz w:val="18"/>
          <w:szCs w:val="18"/>
          <w:lang w:eastAsia="it-IT"/>
        </w:rPr>
      </w:pPr>
      <w:r w:rsidRPr="00765C23">
        <w:rPr>
          <w:rFonts w:ascii="Verdana" w:eastAsia="Times New Roman" w:hAnsi="Verdana" w:cs="Arial"/>
          <w:color w:val="000000"/>
          <w:sz w:val="18"/>
          <w:szCs w:val="18"/>
          <w:lang w:eastAsia="it-IT"/>
        </w:rPr>
        <w:t xml:space="preserve">Le Risorse per gli ITS </w:t>
      </w:r>
      <w:r w:rsidR="00765C23">
        <w:rPr>
          <w:rFonts w:ascii="Verdana" w:eastAsia="Times New Roman" w:hAnsi="Verdana" w:cs="Arial"/>
          <w:color w:val="000000"/>
          <w:sz w:val="18"/>
          <w:szCs w:val="18"/>
          <w:lang w:eastAsia="it-IT"/>
        </w:rPr>
        <w:t xml:space="preserve"> </w:t>
      </w:r>
    </w:p>
    <w:p w:rsidR="006B33C1" w:rsidRDefault="00765C23" w:rsidP="006B33C1">
      <w:pPr>
        <w:shd w:val="clear" w:color="auto" w:fill="FFFFFF"/>
        <w:spacing w:after="0" w:line="162" w:lineRule="atLeast"/>
        <w:jc w:val="both"/>
        <w:rPr>
          <w:rFonts w:ascii="Verdana" w:eastAsia="Times New Roman" w:hAnsi="Verdana" w:cs="Arial"/>
          <w:color w:val="000000"/>
          <w:sz w:val="20"/>
          <w:szCs w:val="20"/>
          <w:lang w:eastAsia="it-IT"/>
        </w:rPr>
      </w:pPr>
      <w:r>
        <w:rPr>
          <w:rFonts w:ascii="Verdana" w:eastAsia="Times New Roman" w:hAnsi="Verdana" w:cs="Arial"/>
          <w:color w:val="000000"/>
          <w:sz w:val="20"/>
          <w:szCs w:val="20"/>
          <w:lang w:eastAsia="it-IT"/>
        </w:rPr>
        <w:t xml:space="preserve">Presentazione Istruzione tecnica e professionale  </w:t>
      </w:r>
    </w:p>
    <w:sectPr w:rsidR="006B33C1" w:rsidSect="00B47A5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defaultTabStop w:val="708"/>
  <w:hyphenationZone w:val="283"/>
  <w:characterSpacingControl w:val="doNotCompress"/>
  <w:compat/>
  <w:rsids>
    <w:rsidRoot w:val="006B33C1"/>
    <w:rsid w:val="0006665F"/>
    <w:rsid w:val="00197142"/>
    <w:rsid w:val="004203FD"/>
    <w:rsid w:val="006B33C1"/>
    <w:rsid w:val="00765C23"/>
    <w:rsid w:val="00B47A59"/>
    <w:rsid w:val="00BE605E"/>
    <w:rsid w:val="00D8379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47A5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6B33C1"/>
    <w:rPr>
      <w:b/>
      <w:bCs/>
      <w:i w:val="0"/>
      <w:iCs w:val="0"/>
    </w:rPr>
  </w:style>
  <w:style w:type="paragraph" w:styleId="NormaleWeb">
    <w:name w:val="Normal (Web)"/>
    <w:basedOn w:val="Normale"/>
    <w:uiPriority w:val="99"/>
    <w:semiHidden/>
    <w:unhideWhenUsed/>
    <w:rsid w:val="006B33C1"/>
    <w:pPr>
      <w:spacing w:before="100" w:beforeAutospacing="1" w:after="240" w:line="240" w:lineRule="auto"/>
    </w:pPr>
    <w:rPr>
      <w:rFonts w:ascii="Times New Roman" w:eastAsia="Times New Roman" w:hAnsi="Times New Roman" w:cs="Times New Roman"/>
      <w:sz w:val="24"/>
      <w:szCs w:val="24"/>
      <w:lang w:eastAsia="it-IT"/>
    </w:rPr>
  </w:style>
  <w:style w:type="paragraph" w:customStyle="1" w:styleId="Default">
    <w:name w:val="Default"/>
    <w:rsid w:val="00765C2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643389109">
      <w:bodyDiv w:val="1"/>
      <w:marLeft w:val="0"/>
      <w:marRight w:val="0"/>
      <w:marTop w:val="0"/>
      <w:marBottom w:val="0"/>
      <w:divBdr>
        <w:top w:val="none" w:sz="0" w:space="0" w:color="auto"/>
        <w:left w:val="none" w:sz="0" w:space="0" w:color="auto"/>
        <w:bottom w:val="none" w:sz="0" w:space="0" w:color="auto"/>
        <w:right w:val="none" w:sz="0" w:space="0" w:color="auto"/>
      </w:divBdr>
      <w:divsChild>
        <w:div w:id="1828203669">
          <w:marLeft w:val="0"/>
          <w:marRight w:val="0"/>
          <w:marTop w:val="0"/>
          <w:marBottom w:val="0"/>
          <w:divBdr>
            <w:top w:val="none" w:sz="0" w:space="0" w:color="auto"/>
            <w:left w:val="none" w:sz="0" w:space="0" w:color="auto"/>
            <w:bottom w:val="none" w:sz="0" w:space="0" w:color="auto"/>
            <w:right w:val="none" w:sz="0" w:space="0" w:color="auto"/>
          </w:divBdr>
          <w:divsChild>
            <w:div w:id="1404714671">
              <w:marLeft w:val="0"/>
              <w:marRight w:val="0"/>
              <w:marTop w:val="0"/>
              <w:marBottom w:val="0"/>
              <w:divBdr>
                <w:top w:val="none" w:sz="0" w:space="0" w:color="auto"/>
                <w:left w:val="none" w:sz="0" w:space="0" w:color="auto"/>
                <w:bottom w:val="none" w:sz="0" w:space="0" w:color="auto"/>
                <w:right w:val="none" w:sz="0" w:space="0" w:color="auto"/>
              </w:divBdr>
              <w:divsChild>
                <w:div w:id="1533106855">
                  <w:marLeft w:val="0"/>
                  <w:marRight w:val="0"/>
                  <w:marTop w:val="0"/>
                  <w:marBottom w:val="0"/>
                  <w:divBdr>
                    <w:top w:val="none" w:sz="0" w:space="0" w:color="auto"/>
                    <w:left w:val="none" w:sz="0" w:space="0" w:color="auto"/>
                    <w:bottom w:val="none" w:sz="0" w:space="0" w:color="auto"/>
                    <w:right w:val="none" w:sz="0" w:space="0" w:color="auto"/>
                  </w:divBdr>
                  <w:divsChild>
                    <w:div w:id="1419015869">
                      <w:marLeft w:val="0"/>
                      <w:marRight w:val="0"/>
                      <w:marTop w:val="0"/>
                      <w:marBottom w:val="0"/>
                      <w:divBdr>
                        <w:top w:val="none" w:sz="0" w:space="0" w:color="auto"/>
                        <w:left w:val="none" w:sz="0" w:space="0" w:color="auto"/>
                        <w:bottom w:val="none" w:sz="0" w:space="0" w:color="auto"/>
                        <w:right w:val="none" w:sz="0" w:space="0" w:color="auto"/>
                      </w:divBdr>
                      <w:divsChild>
                        <w:div w:id="304511143">
                          <w:marLeft w:val="0"/>
                          <w:marRight w:val="0"/>
                          <w:marTop w:val="0"/>
                          <w:marBottom w:val="0"/>
                          <w:divBdr>
                            <w:top w:val="none" w:sz="0" w:space="0" w:color="auto"/>
                            <w:left w:val="none" w:sz="0" w:space="0" w:color="auto"/>
                            <w:bottom w:val="none" w:sz="0" w:space="0" w:color="auto"/>
                            <w:right w:val="none" w:sz="0" w:space="0" w:color="auto"/>
                          </w:divBdr>
                          <w:divsChild>
                            <w:div w:id="686713831">
                              <w:marLeft w:val="0"/>
                              <w:marRight w:val="0"/>
                              <w:marTop w:val="0"/>
                              <w:marBottom w:val="0"/>
                              <w:divBdr>
                                <w:top w:val="none" w:sz="0" w:space="0" w:color="auto"/>
                                <w:left w:val="none" w:sz="0" w:space="0" w:color="auto"/>
                                <w:bottom w:val="none" w:sz="0" w:space="0" w:color="auto"/>
                                <w:right w:val="none" w:sz="0" w:space="0" w:color="auto"/>
                              </w:divBdr>
                              <w:divsChild>
                                <w:div w:id="1158619139">
                                  <w:marLeft w:val="0"/>
                                  <w:marRight w:val="0"/>
                                  <w:marTop w:val="0"/>
                                  <w:marBottom w:val="0"/>
                                  <w:divBdr>
                                    <w:top w:val="none" w:sz="0" w:space="0" w:color="auto"/>
                                    <w:left w:val="none" w:sz="0" w:space="0" w:color="auto"/>
                                    <w:bottom w:val="none" w:sz="0" w:space="0" w:color="auto"/>
                                    <w:right w:val="none" w:sz="0" w:space="0" w:color="auto"/>
                                  </w:divBdr>
                                  <w:divsChild>
                                    <w:div w:id="2011523985">
                                      <w:marLeft w:val="0"/>
                                      <w:marRight w:val="0"/>
                                      <w:marTop w:val="0"/>
                                      <w:marBottom w:val="0"/>
                                      <w:divBdr>
                                        <w:top w:val="none" w:sz="0" w:space="0" w:color="auto"/>
                                        <w:left w:val="none" w:sz="0" w:space="0" w:color="auto"/>
                                        <w:bottom w:val="none" w:sz="0" w:space="0" w:color="auto"/>
                                        <w:right w:val="none" w:sz="0" w:space="0" w:color="auto"/>
                                      </w:divBdr>
                                      <w:divsChild>
                                        <w:div w:id="1982616331">
                                          <w:marLeft w:val="0"/>
                                          <w:marRight w:val="0"/>
                                          <w:marTop w:val="0"/>
                                          <w:marBottom w:val="0"/>
                                          <w:divBdr>
                                            <w:top w:val="none" w:sz="0" w:space="0" w:color="auto"/>
                                            <w:left w:val="none" w:sz="0" w:space="0" w:color="auto"/>
                                            <w:bottom w:val="none" w:sz="0" w:space="0" w:color="auto"/>
                                            <w:right w:val="none" w:sz="0" w:space="0" w:color="auto"/>
                                          </w:divBdr>
                                          <w:divsChild>
                                            <w:div w:id="32076140">
                                              <w:marLeft w:val="0"/>
                                              <w:marRight w:val="0"/>
                                              <w:marTop w:val="0"/>
                                              <w:marBottom w:val="0"/>
                                              <w:divBdr>
                                                <w:top w:val="none" w:sz="0" w:space="0" w:color="auto"/>
                                                <w:left w:val="none" w:sz="0" w:space="0" w:color="auto"/>
                                                <w:bottom w:val="none" w:sz="0" w:space="0" w:color="auto"/>
                                                <w:right w:val="none" w:sz="0" w:space="0" w:color="auto"/>
                                              </w:divBdr>
                                              <w:divsChild>
                                                <w:div w:id="447044631">
                                                  <w:marLeft w:val="0"/>
                                                  <w:marRight w:val="0"/>
                                                  <w:marTop w:val="0"/>
                                                  <w:marBottom w:val="0"/>
                                                  <w:divBdr>
                                                    <w:top w:val="none" w:sz="0" w:space="0" w:color="auto"/>
                                                    <w:left w:val="none" w:sz="0" w:space="0" w:color="auto"/>
                                                    <w:bottom w:val="none" w:sz="0" w:space="0" w:color="auto"/>
                                                    <w:right w:val="none" w:sz="0" w:space="0" w:color="auto"/>
                                                  </w:divBdr>
                                                </w:div>
                                                <w:div w:id="12127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646</Words>
  <Characters>3685</Characters>
  <Application>Microsoft Office Word</Application>
  <DocSecurity>0</DocSecurity>
  <Lines>30</Lines>
  <Paragraphs>8</Paragraphs>
  <ScaleCrop>false</ScaleCrop>
  <Company/>
  <LinksUpToDate>false</LinksUpToDate>
  <CharactersWithSpaces>4323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Tonini</dc:creator>
  <cp:keywords/>
  <dc:description/>
  <cp:lastModifiedBy>Mario Tonini</cp:lastModifiedBy>
  <cp:revision>6</cp:revision>
  <cp:lastPrinted>2012-10-04T20:39:00Z</cp:lastPrinted>
  <dcterms:created xsi:type="dcterms:W3CDTF">2012-09-30T09:28:00Z</dcterms:created>
  <dcterms:modified xsi:type="dcterms:W3CDTF">2012-10-04T20:39:00Z</dcterms:modified>
</cp:coreProperties>
</file>