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66955" w14:textId="2A771E6C" w:rsidR="00C665F0" w:rsidRDefault="00640B28" w:rsidP="00C665F0">
      <w:pPr>
        <w:rPr>
          <w:rFonts w:ascii="Arial" w:hAnsi="Arial" w:cs="Arial"/>
          <w:b/>
          <w:sz w:val="22"/>
          <w:szCs w:val="22"/>
        </w:rPr>
      </w:pPr>
      <w:bookmarkStart w:id="0" w:name="_GoBack"/>
      <w:bookmarkEnd w:id="0"/>
      <w:r>
        <w:rPr>
          <w:rFonts w:ascii="Tahoma" w:hAnsi="Tahoma"/>
          <w:b/>
          <w:noProof/>
          <w:sz w:val="18"/>
          <w:szCs w:val="36"/>
          <w:lang w:eastAsia="it-IT" w:bidi="ar-SA"/>
        </w:rPr>
        <w:drawing>
          <wp:anchor distT="0" distB="0" distL="114300" distR="114300" simplePos="0" relativeHeight="251659264" behindDoc="0" locked="0" layoutInCell="1" allowOverlap="1" wp14:anchorId="261D080B" wp14:editId="6DC40767">
            <wp:simplePos x="0" y="0"/>
            <wp:positionH relativeFrom="column">
              <wp:posOffset>-495300</wp:posOffset>
            </wp:positionH>
            <wp:positionV relativeFrom="paragraph">
              <wp:posOffset>0</wp:posOffset>
            </wp:positionV>
            <wp:extent cx="2560320" cy="1598295"/>
            <wp:effectExtent l="0" t="0" r="5080" b="1905"/>
            <wp:wrapSquare wrapText="bothSides"/>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15982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page">
              <wp14:pctWidth>0</wp14:pctWidth>
            </wp14:sizeRelH>
            <wp14:sizeRelV relativeFrom="page">
              <wp14:pctHeight>0</wp14:pctHeight>
            </wp14:sizeRelV>
          </wp:anchor>
        </w:drawing>
      </w:r>
    </w:p>
    <w:p w14:paraId="2923AB89" w14:textId="2579E825" w:rsidR="00C665F0" w:rsidRDefault="00C665F0" w:rsidP="00C665F0">
      <w:pPr>
        <w:rPr>
          <w:rFonts w:ascii="Arial" w:hAnsi="Arial" w:cs="Arial"/>
          <w:b/>
          <w:sz w:val="22"/>
          <w:szCs w:val="22"/>
        </w:rPr>
      </w:pPr>
    </w:p>
    <w:p w14:paraId="58786F73" w14:textId="6519A2EC" w:rsidR="00C665F0" w:rsidRDefault="00C665F0" w:rsidP="00D44627">
      <w:pPr>
        <w:jc w:val="center"/>
        <w:rPr>
          <w:rFonts w:ascii="Arial" w:hAnsi="Arial" w:cs="Arial"/>
          <w:b/>
          <w:sz w:val="22"/>
          <w:szCs w:val="22"/>
        </w:rPr>
      </w:pPr>
    </w:p>
    <w:p w14:paraId="5BC90377" w14:textId="2F60E71A" w:rsidR="00640B28" w:rsidRDefault="00640B28" w:rsidP="00C530E6">
      <w:pPr>
        <w:jc w:val="center"/>
        <w:rPr>
          <w:rFonts w:ascii="Arial" w:hAnsi="Arial" w:cs="Arial"/>
          <w:b/>
          <w:sz w:val="22"/>
          <w:szCs w:val="22"/>
        </w:rPr>
      </w:pPr>
    </w:p>
    <w:p w14:paraId="4996C312" w14:textId="338E9DD9" w:rsidR="00640B28" w:rsidRDefault="00A40640" w:rsidP="00C530E6">
      <w:pPr>
        <w:jc w:val="center"/>
        <w:rPr>
          <w:rFonts w:ascii="Arial" w:hAnsi="Arial" w:cs="Arial"/>
          <w:b/>
          <w:sz w:val="22"/>
          <w:szCs w:val="22"/>
        </w:rPr>
      </w:pPr>
      <w:r>
        <w:rPr>
          <w:rFonts w:ascii="Arial" w:hAnsi="Arial" w:cs="Arial"/>
          <w:b/>
          <w:noProof/>
          <w:sz w:val="22"/>
          <w:szCs w:val="22"/>
          <w:lang w:eastAsia="it-IT" w:bidi="ar-SA"/>
        </w:rPr>
        <w:drawing>
          <wp:anchor distT="0" distB="0" distL="114300" distR="114300" simplePos="0" relativeHeight="251658240" behindDoc="0" locked="0" layoutInCell="1" allowOverlap="1" wp14:anchorId="6DCA9D0E" wp14:editId="5EB36029">
            <wp:simplePos x="0" y="0"/>
            <wp:positionH relativeFrom="column">
              <wp:posOffset>3745230</wp:posOffset>
            </wp:positionH>
            <wp:positionV relativeFrom="paragraph">
              <wp:posOffset>10160</wp:posOffset>
            </wp:positionV>
            <wp:extent cx="2598420" cy="944880"/>
            <wp:effectExtent l="0" t="0" r="0" b="7620"/>
            <wp:wrapSquare wrapText="bothSides"/>
            <wp:docPr id="2" name="Immagine 2" descr="251 MAC HD:Users:mattiadolci:Library:Containers:com.apple.mail:Data:Library:Mail Downloads:0C992704-8083-42D1-9C16-61181D59A477:positivoCOLORE:Logo_REG_LOMBARDIA_or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1 MAC HD:Users:mattiadolci:Library:Containers:com.apple.mail:Data:Library:Mail Downloads:0C992704-8083-42D1-9C16-61181D59A477:positivoCOLORE:Logo_REG_LOMBARDIA_oriz.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8420" cy="94488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page">
              <wp14:pctWidth>0</wp14:pctWidth>
            </wp14:sizeRelH>
            <wp14:sizeRelV relativeFrom="page">
              <wp14:pctHeight>0</wp14:pctHeight>
            </wp14:sizeRelV>
          </wp:anchor>
        </w:drawing>
      </w:r>
    </w:p>
    <w:p w14:paraId="37C67762" w14:textId="77777777" w:rsidR="00640B28" w:rsidRDefault="00640B28" w:rsidP="00C530E6">
      <w:pPr>
        <w:jc w:val="center"/>
        <w:rPr>
          <w:rFonts w:ascii="Arial" w:hAnsi="Arial" w:cs="Arial"/>
          <w:b/>
          <w:sz w:val="22"/>
          <w:szCs w:val="22"/>
        </w:rPr>
      </w:pPr>
    </w:p>
    <w:p w14:paraId="53DECF61" w14:textId="77777777" w:rsidR="00640B28" w:rsidRDefault="00640B28" w:rsidP="00C530E6">
      <w:pPr>
        <w:jc w:val="center"/>
        <w:rPr>
          <w:rFonts w:ascii="Arial" w:hAnsi="Arial" w:cs="Arial"/>
          <w:b/>
          <w:sz w:val="22"/>
          <w:szCs w:val="22"/>
        </w:rPr>
      </w:pPr>
    </w:p>
    <w:p w14:paraId="25C6A1D8" w14:textId="77777777" w:rsidR="00640B28" w:rsidRDefault="00640B28" w:rsidP="00C530E6">
      <w:pPr>
        <w:jc w:val="center"/>
        <w:rPr>
          <w:rFonts w:ascii="Arial" w:hAnsi="Arial" w:cs="Arial"/>
          <w:b/>
          <w:sz w:val="22"/>
          <w:szCs w:val="22"/>
        </w:rPr>
      </w:pPr>
    </w:p>
    <w:p w14:paraId="503B9AA2" w14:textId="77777777" w:rsidR="00640B28" w:rsidRDefault="00640B28" w:rsidP="00C530E6">
      <w:pPr>
        <w:jc w:val="center"/>
        <w:rPr>
          <w:rFonts w:ascii="Arial" w:hAnsi="Arial" w:cs="Arial"/>
          <w:b/>
          <w:sz w:val="22"/>
          <w:szCs w:val="22"/>
        </w:rPr>
      </w:pPr>
    </w:p>
    <w:p w14:paraId="19A8176A" w14:textId="77777777" w:rsidR="00640B28" w:rsidRDefault="00640B28" w:rsidP="00C530E6">
      <w:pPr>
        <w:jc w:val="center"/>
        <w:rPr>
          <w:rFonts w:ascii="Arial" w:hAnsi="Arial" w:cs="Arial"/>
          <w:b/>
          <w:sz w:val="22"/>
          <w:szCs w:val="22"/>
        </w:rPr>
      </w:pPr>
    </w:p>
    <w:p w14:paraId="6096F9D3" w14:textId="77777777" w:rsidR="00640B28" w:rsidRDefault="00640B28" w:rsidP="00C530E6">
      <w:pPr>
        <w:jc w:val="center"/>
        <w:rPr>
          <w:rFonts w:ascii="Arial" w:hAnsi="Arial" w:cs="Arial"/>
          <w:b/>
          <w:sz w:val="22"/>
          <w:szCs w:val="22"/>
        </w:rPr>
      </w:pPr>
    </w:p>
    <w:p w14:paraId="1AFAF5F6" w14:textId="77777777" w:rsidR="00640B28" w:rsidRDefault="00640B28" w:rsidP="00C530E6">
      <w:pPr>
        <w:jc w:val="center"/>
        <w:rPr>
          <w:rFonts w:ascii="Arial" w:hAnsi="Arial" w:cs="Arial"/>
          <w:b/>
          <w:sz w:val="22"/>
          <w:szCs w:val="22"/>
        </w:rPr>
      </w:pPr>
    </w:p>
    <w:p w14:paraId="28BA9DD5" w14:textId="77777777" w:rsidR="00640B28" w:rsidRDefault="00640B28" w:rsidP="00C530E6">
      <w:pPr>
        <w:jc w:val="center"/>
        <w:rPr>
          <w:rFonts w:ascii="Arial" w:hAnsi="Arial" w:cs="Arial"/>
          <w:b/>
          <w:sz w:val="22"/>
          <w:szCs w:val="22"/>
        </w:rPr>
      </w:pPr>
    </w:p>
    <w:p w14:paraId="1A45C873" w14:textId="77777777" w:rsidR="00640B28" w:rsidRDefault="00640B28" w:rsidP="00C530E6">
      <w:pPr>
        <w:jc w:val="center"/>
        <w:rPr>
          <w:rFonts w:ascii="Arial" w:hAnsi="Arial" w:cs="Arial"/>
          <w:b/>
          <w:sz w:val="22"/>
          <w:szCs w:val="22"/>
        </w:rPr>
      </w:pPr>
    </w:p>
    <w:p w14:paraId="0227B5FA" w14:textId="77777777" w:rsidR="00640B28" w:rsidRDefault="00640B28" w:rsidP="00C530E6">
      <w:pPr>
        <w:jc w:val="center"/>
        <w:rPr>
          <w:rFonts w:ascii="Arial" w:hAnsi="Arial" w:cs="Arial"/>
          <w:b/>
          <w:sz w:val="22"/>
          <w:szCs w:val="22"/>
        </w:rPr>
      </w:pPr>
    </w:p>
    <w:p w14:paraId="1F586FF6" w14:textId="77777777" w:rsidR="00C530E6" w:rsidRDefault="00C530E6" w:rsidP="00C530E6">
      <w:pPr>
        <w:jc w:val="center"/>
        <w:rPr>
          <w:rFonts w:ascii="Arial" w:hAnsi="Arial" w:cs="Arial"/>
          <w:b/>
          <w:sz w:val="22"/>
          <w:szCs w:val="22"/>
        </w:rPr>
      </w:pPr>
      <w:r>
        <w:rPr>
          <w:rFonts w:ascii="Arial" w:hAnsi="Arial" w:cs="Arial"/>
          <w:b/>
          <w:sz w:val="22"/>
          <w:szCs w:val="22"/>
        </w:rPr>
        <w:t>Protocollo d’intesa</w:t>
      </w:r>
    </w:p>
    <w:p w14:paraId="1ECBFA66" w14:textId="77777777" w:rsidR="00C530E6" w:rsidRDefault="00C530E6" w:rsidP="00C530E6">
      <w:pPr>
        <w:jc w:val="center"/>
        <w:rPr>
          <w:rFonts w:ascii="Arial" w:hAnsi="Arial" w:cs="Arial"/>
          <w:b/>
          <w:sz w:val="22"/>
          <w:szCs w:val="22"/>
        </w:rPr>
      </w:pPr>
    </w:p>
    <w:p w14:paraId="1251E037" w14:textId="77777777" w:rsidR="00C530E6" w:rsidRDefault="00C530E6" w:rsidP="00C530E6">
      <w:pPr>
        <w:jc w:val="center"/>
        <w:rPr>
          <w:rFonts w:ascii="Arial" w:hAnsi="Arial" w:cs="Arial"/>
          <w:b/>
          <w:sz w:val="22"/>
          <w:szCs w:val="22"/>
        </w:rPr>
      </w:pPr>
      <w:r>
        <w:rPr>
          <w:rFonts w:ascii="Arial" w:hAnsi="Arial" w:cs="Arial"/>
          <w:b/>
          <w:sz w:val="22"/>
          <w:szCs w:val="22"/>
        </w:rPr>
        <w:t>Tra</w:t>
      </w:r>
    </w:p>
    <w:p w14:paraId="6A136A8E" w14:textId="77777777" w:rsidR="00C530E6" w:rsidRDefault="00C530E6" w:rsidP="00C530E6">
      <w:pPr>
        <w:jc w:val="both"/>
        <w:rPr>
          <w:rFonts w:ascii="Arial" w:hAnsi="Arial" w:cs="Arial"/>
          <w:b/>
          <w:sz w:val="22"/>
          <w:szCs w:val="22"/>
        </w:rPr>
      </w:pPr>
    </w:p>
    <w:p w14:paraId="05EBBBDB" w14:textId="77777777" w:rsidR="00C530E6" w:rsidRDefault="00C530E6" w:rsidP="00C530E6">
      <w:pPr>
        <w:jc w:val="both"/>
        <w:rPr>
          <w:rFonts w:ascii="Arial" w:hAnsi="Arial" w:cs="Arial"/>
          <w:b/>
          <w:sz w:val="22"/>
          <w:szCs w:val="22"/>
        </w:rPr>
      </w:pPr>
    </w:p>
    <w:p w14:paraId="3F92741C" w14:textId="77777777" w:rsidR="00C530E6" w:rsidRDefault="00C530E6" w:rsidP="00C530E6">
      <w:pPr>
        <w:jc w:val="both"/>
        <w:rPr>
          <w:rFonts w:ascii="Arial" w:hAnsi="Arial" w:cs="Arial"/>
          <w:b/>
          <w:sz w:val="22"/>
          <w:szCs w:val="22"/>
        </w:rPr>
      </w:pPr>
      <w:r>
        <w:rPr>
          <w:rFonts w:ascii="Arial" w:hAnsi="Arial" w:cs="Arial"/>
          <w:b/>
          <w:sz w:val="22"/>
          <w:szCs w:val="22"/>
        </w:rPr>
        <w:t>il Ministero del lavoro e delle politiche sociali</w:t>
      </w:r>
    </w:p>
    <w:p w14:paraId="707D2ECF" w14:textId="77777777" w:rsidR="00C530E6" w:rsidRDefault="00C530E6" w:rsidP="00C530E6">
      <w:pPr>
        <w:jc w:val="both"/>
        <w:rPr>
          <w:rFonts w:ascii="Arial" w:hAnsi="Arial" w:cs="Arial"/>
          <w:b/>
          <w:sz w:val="22"/>
          <w:szCs w:val="22"/>
        </w:rPr>
      </w:pPr>
    </w:p>
    <w:p w14:paraId="0D79B6D6" w14:textId="77777777" w:rsidR="00C530E6" w:rsidRDefault="00C530E6" w:rsidP="00C530E6">
      <w:pPr>
        <w:jc w:val="center"/>
        <w:rPr>
          <w:rFonts w:ascii="Arial" w:hAnsi="Arial" w:cs="Arial"/>
          <w:b/>
          <w:sz w:val="22"/>
          <w:szCs w:val="22"/>
        </w:rPr>
      </w:pPr>
      <w:r>
        <w:rPr>
          <w:rFonts w:ascii="Arial" w:hAnsi="Arial" w:cs="Arial"/>
          <w:b/>
          <w:sz w:val="22"/>
          <w:szCs w:val="22"/>
        </w:rPr>
        <w:t>e</w:t>
      </w:r>
    </w:p>
    <w:p w14:paraId="1167D822" w14:textId="77777777" w:rsidR="00C530E6" w:rsidRDefault="00C530E6" w:rsidP="00C530E6">
      <w:pPr>
        <w:jc w:val="center"/>
        <w:rPr>
          <w:rFonts w:ascii="Arial" w:hAnsi="Arial" w:cs="Arial"/>
          <w:b/>
          <w:sz w:val="22"/>
          <w:szCs w:val="22"/>
        </w:rPr>
      </w:pPr>
    </w:p>
    <w:p w14:paraId="57DB4028" w14:textId="77777777" w:rsidR="00C530E6" w:rsidRPr="00342302" w:rsidRDefault="00C530E6" w:rsidP="00C530E6">
      <w:pPr>
        <w:jc w:val="both"/>
        <w:rPr>
          <w:rFonts w:ascii="Arial" w:hAnsi="Arial" w:cs="Arial"/>
          <w:b/>
          <w:sz w:val="22"/>
          <w:szCs w:val="22"/>
        </w:rPr>
      </w:pPr>
      <w:r w:rsidRPr="005B24A1">
        <w:rPr>
          <w:rFonts w:ascii="Arial" w:hAnsi="Arial" w:cs="Arial"/>
          <w:b/>
          <w:sz w:val="22"/>
          <w:szCs w:val="22"/>
        </w:rPr>
        <w:t xml:space="preserve">la </w:t>
      </w:r>
      <w:r w:rsidRPr="005F54C2">
        <w:rPr>
          <w:rFonts w:ascii="Arial" w:hAnsi="Arial" w:cs="Arial"/>
          <w:b/>
          <w:noProof/>
          <w:sz w:val="22"/>
          <w:szCs w:val="22"/>
        </w:rPr>
        <w:t>Regione Lombardia</w:t>
      </w:r>
    </w:p>
    <w:p w14:paraId="11391407" w14:textId="77777777" w:rsidR="00C530E6" w:rsidRDefault="00C530E6" w:rsidP="00C530E6">
      <w:pPr>
        <w:jc w:val="both"/>
        <w:rPr>
          <w:rFonts w:ascii="Arial" w:hAnsi="Arial" w:cs="Arial"/>
          <w:b/>
          <w:sz w:val="22"/>
          <w:szCs w:val="22"/>
        </w:rPr>
      </w:pPr>
    </w:p>
    <w:p w14:paraId="55C20DAF" w14:textId="77777777" w:rsidR="00C530E6" w:rsidRDefault="00C530E6" w:rsidP="00C530E6">
      <w:pPr>
        <w:rPr>
          <w:rFonts w:ascii="Arial" w:hAnsi="Arial" w:cs="Arial"/>
          <w:sz w:val="22"/>
          <w:szCs w:val="22"/>
        </w:rPr>
      </w:pPr>
      <w:r>
        <w:rPr>
          <w:rFonts w:ascii="Arial" w:hAnsi="Arial" w:cs="Arial"/>
          <w:sz w:val="22"/>
          <w:szCs w:val="22"/>
        </w:rPr>
        <w:t>(di seguito, per brevità, Parti)</w:t>
      </w:r>
    </w:p>
    <w:p w14:paraId="1093D4CF" w14:textId="77777777" w:rsidR="00C530E6" w:rsidRDefault="00C530E6" w:rsidP="00C530E6">
      <w:pPr>
        <w:rPr>
          <w:rFonts w:ascii="Arial" w:hAnsi="Arial" w:cs="Arial"/>
          <w:sz w:val="22"/>
          <w:szCs w:val="22"/>
        </w:rPr>
      </w:pPr>
    </w:p>
    <w:p w14:paraId="1257C1B3" w14:textId="77777777" w:rsidR="00C530E6" w:rsidRDefault="00C530E6" w:rsidP="00C530E6">
      <w:pPr>
        <w:jc w:val="both"/>
        <w:rPr>
          <w:rFonts w:hint="eastAsia"/>
        </w:rPr>
      </w:pPr>
      <w:r>
        <w:rPr>
          <w:rFonts w:ascii="Arial" w:hAnsi="Arial" w:cs="Arial"/>
          <w:sz w:val="22"/>
          <w:szCs w:val="22"/>
        </w:rPr>
        <w:t>VISTA la legge 17 maggio 1999, n. 144 recante</w:t>
      </w:r>
      <w:r w:rsidRPr="008F39A4">
        <w:rPr>
          <w:rFonts w:ascii="Arial" w:hAnsi="Arial" w:cs="Arial"/>
          <w:sz w:val="22"/>
          <w:szCs w:val="22"/>
        </w:rPr>
        <w:t xml:space="preserve"> </w:t>
      </w:r>
      <w:r>
        <w:rPr>
          <w:rFonts w:ascii="Arial" w:hAnsi="Arial" w:cs="Arial"/>
          <w:sz w:val="22"/>
          <w:szCs w:val="22"/>
        </w:rPr>
        <w:t>“</w:t>
      </w:r>
      <w:r w:rsidRPr="008F39A4">
        <w:rPr>
          <w:rFonts w:ascii="Arial" w:hAnsi="Arial" w:cs="Arial"/>
          <w:sz w:val="22"/>
          <w:szCs w:val="22"/>
        </w:rPr>
        <w:t>Misure in materia di investimenti, delega al Governo per il riordino degli incentivi all'occupazione e della normativa che disciplina l'INAIL, nonch</w:t>
      </w:r>
      <w:r>
        <w:rPr>
          <w:rFonts w:ascii="Arial" w:hAnsi="Arial" w:cs="Arial"/>
          <w:sz w:val="22"/>
          <w:szCs w:val="22"/>
        </w:rPr>
        <w:t>é</w:t>
      </w:r>
      <w:r w:rsidRPr="008F39A4">
        <w:rPr>
          <w:rFonts w:ascii="Arial" w:hAnsi="Arial" w:cs="Arial"/>
          <w:sz w:val="22"/>
          <w:szCs w:val="22"/>
        </w:rPr>
        <w:t xml:space="preserve"> disposizioni per il riordino degli enti previdenziali</w:t>
      </w:r>
      <w:r>
        <w:rPr>
          <w:rFonts w:ascii="Arial" w:hAnsi="Arial" w:cs="Arial"/>
          <w:sz w:val="22"/>
          <w:szCs w:val="22"/>
        </w:rPr>
        <w:t>” e in particolare l’articolo 68;</w:t>
      </w:r>
    </w:p>
    <w:p w14:paraId="4BAEA1DB" w14:textId="77777777" w:rsidR="00C530E6" w:rsidRDefault="00C530E6" w:rsidP="00C530E6">
      <w:pPr>
        <w:jc w:val="both"/>
        <w:rPr>
          <w:rFonts w:ascii="Arial" w:hAnsi="Arial" w:cs="Arial"/>
          <w:sz w:val="22"/>
          <w:szCs w:val="22"/>
        </w:rPr>
      </w:pPr>
    </w:p>
    <w:p w14:paraId="05842062" w14:textId="77777777" w:rsidR="00C530E6" w:rsidRDefault="00C530E6" w:rsidP="00C530E6">
      <w:pPr>
        <w:jc w:val="both"/>
        <w:rPr>
          <w:rFonts w:hint="eastAsia"/>
        </w:rPr>
      </w:pPr>
      <w:r>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14:paraId="38DB1091" w14:textId="77777777" w:rsidR="00C530E6" w:rsidRDefault="00C530E6" w:rsidP="00C530E6">
      <w:pPr>
        <w:jc w:val="both"/>
        <w:rPr>
          <w:rFonts w:ascii="Arial" w:hAnsi="Arial" w:cs="Arial"/>
          <w:sz w:val="22"/>
          <w:szCs w:val="22"/>
        </w:rPr>
      </w:pPr>
    </w:p>
    <w:p w14:paraId="471750A9" w14:textId="77777777" w:rsidR="00C530E6" w:rsidRDefault="00C530E6" w:rsidP="00C530E6">
      <w:pPr>
        <w:jc w:val="both"/>
        <w:rPr>
          <w:rFonts w:ascii="Arial" w:hAnsi="Arial" w:cs="Arial"/>
          <w:sz w:val="22"/>
          <w:szCs w:val="22"/>
        </w:rPr>
      </w:pPr>
      <w:r>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14:paraId="647E2FE5" w14:textId="77777777" w:rsidR="00C530E6" w:rsidRDefault="00C530E6" w:rsidP="00C530E6">
      <w:pPr>
        <w:jc w:val="both"/>
        <w:rPr>
          <w:rFonts w:ascii="Arial" w:hAnsi="Arial" w:cs="Arial"/>
          <w:sz w:val="22"/>
          <w:szCs w:val="22"/>
        </w:rPr>
      </w:pPr>
    </w:p>
    <w:p w14:paraId="58004F7D" w14:textId="77777777" w:rsidR="00C530E6" w:rsidRDefault="00C530E6" w:rsidP="00C530E6">
      <w:pPr>
        <w:jc w:val="both"/>
        <w:rPr>
          <w:rFonts w:ascii="Arial" w:hAnsi="Arial" w:cs="Arial"/>
          <w:sz w:val="22"/>
          <w:szCs w:val="22"/>
        </w:rPr>
      </w:pPr>
      <w:r w:rsidRPr="00D44627">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14:paraId="1EF64C73" w14:textId="77777777" w:rsidR="00C530E6" w:rsidRDefault="00C530E6" w:rsidP="00C530E6">
      <w:pPr>
        <w:jc w:val="both"/>
        <w:rPr>
          <w:rFonts w:ascii="Arial" w:hAnsi="Arial" w:cs="Arial"/>
          <w:sz w:val="22"/>
          <w:szCs w:val="22"/>
        </w:rPr>
      </w:pPr>
    </w:p>
    <w:p w14:paraId="69DF89AD" w14:textId="77777777" w:rsidR="00C530E6" w:rsidRPr="00D44627" w:rsidRDefault="00C530E6" w:rsidP="00C530E6">
      <w:pPr>
        <w:jc w:val="both"/>
        <w:rPr>
          <w:rFonts w:ascii="Arial" w:hAnsi="Arial" w:cs="Arial"/>
          <w:sz w:val="22"/>
          <w:szCs w:val="22"/>
        </w:rPr>
      </w:pPr>
      <w:r>
        <w:rPr>
          <w:rFonts w:ascii="Arial" w:hAnsi="Arial" w:cs="Arial"/>
          <w:sz w:val="22"/>
          <w:szCs w:val="22"/>
        </w:rPr>
        <w:t xml:space="preserve">VISTO l’accordo </w:t>
      </w:r>
      <w:r w:rsidRPr="00D44627">
        <w:rPr>
          <w:rFonts w:ascii="Arial" w:hAnsi="Arial" w:cs="Arial"/>
          <w:sz w:val="22"/>
          <w:szCs w:val="22"/>
        </w:rPr>
        <w:t>ai sensi dell’articolo 4 del decreto legislativo 28 agosto 1997 n. 281 sul progetto sperimentale recante “Azioni di accompagnamento, sviluppo e rafforzamento del sistema duale nell’ambito dell’Istruzi</w:t>
      </w:r>
      <w:r>
        <w:rPr>
          <w:rFonts w:ascii="Arial" w:hAnsi="Arial" w:cs="Arial"/>
          <w:sz w:val="22"/>
          <w:szCs w:val="22"/>
        </w:rPr>
        <w:t>one e Formazione Professionale” sancito il 24 settembre 2015 (repertorio atti n. 158/CSR)</w:t>
      </w:r>
    </w:p>
    <w:p w14:paraId="3FB1B100" w14:textId="77777777" w:rsidR="00C530E6" w:rsidRDefault="00C530E6" w:rsidP="00C530E6">
      <w:pPr>
        <w:jc w:val="both"/>
        <w:rPr>
          <w:rFonts w:hint="eastAsia"/>
        </w:rPr>
      </w:pPr>
    </w:p>
    <w:p w14:paraId="1EE03035" w14:textId="77777777" w:rsidR="00C530E6" w:rsidRDefault="00C530E6" w:rsidP="00C530E6">
      <w:pPr>
        <w:pStyle w:val="Standard"/>
        <w:autoSpaceDE w:val="0"/>
        <w:spacing w:before="120"/>
        <w:ind w:right="57"/>
        <w:jc w:val="both"/>
        <w:rPr>
          <w:rFonts w:ascii="Arial" w:hAnsi="Arial" w:cs="Arial"/>
          <w:sz w:val="22"/>
          <w:szCs w:val="22"/>
        </w:rPr>
      </w:pPr>
      <w:r>
        <w:rPr>
          <w:rFonts w:ascii="Arial" w:hAnsi="Arial" w:cs="Arial"/>
          <w:sz w:val="22"/>
          <w:szCs w:val="22"/>
        </w:rPr>
        <w:t>CONSIDERATO</w:t>
      </w:r>
    </w:p>
    <w:p w14:paraId="19A6279D" w14:textId="77777777" w:rsidR="00C530E6" w:rsidRPr="00D44627" w:rsidRDefault="00C530E6" w:rsidP="00C530E6">
      <w:pPr>
        <w:pStyle w:val="Standard"/>
        <w:autoSpaceDE w:val="0"/>
        <w:spacing w:before="120"/>
        <w:ind w:right="57"/>
        <w:jc w:val="both"/>
        <w:rPr>
          <w:rFonts w:ascii="Arial" w:hAnsi="Arial" w:cs="Arial"/>
          <w:sz w:val="22"/>
          <w:szCs w:val="22"/>
        </w:rPr>
      </w:pPr>
      <w:r w:rsidRPr="00D44627">
        <w:rPr>
          <w:rFonts w:ascii="Arial" w:hAnsi="Arial" w:cs="Arial"/>
          <w:sz w:val="22"/>
          <w:szCs w:val="22"/>
        </w:rPr>
        <w:t xml:space="preserve">che </w:t>
      </w:r>
      <w:r>
        <w:rPr>
          <w:rFonts w:ascii="Arial" w:hAnsi="Arial" w:cs="Arial"/>
          <w:sz w:val="22"/>
          <w:szCs w:val="22"/>
        </w:rPr>
        <w:t xml:space="preserve">nel predetto accordo è previsto che, </w:t>
      </w:r>
      <w:r w:rsidRPr="00D44627">
        <w:rPr>
          <w:rFonts w:ascii="Arial" w:hAnsi="Arial" w:cs="Arial"/>
          <w:sz w:val="22"/>
          <w:szCs w:val="22"/>
        </w:rPr>
        <w:t>ove ritenuto necessario, al fine di adattare il progetto sperimentale a specifiche esigenze delle regioni e province autonome, si procederà alla stipula di appositi protocolli d’intesa bilaterali con le singole regioni o province autonome di Trento e di Bolzano.</w:t>
      </w:r>
    </w:p>
    <w:p w14:paraId="164A7B05" w14:textId="77777777" w:rsidR="00C530E6" w:rsidRPr="00046950" w:rsidRDefault="00C530E6" w:rsidP="00C530E6">
      <w:pPr>
        <w:pStyle w:val="Standard"/>
        <w:autoSpaceDE w:val="0"/>
        <w:spacing w:before="120"/>
        <w:ind w:left="720" w:right="57"/>
        <w:jc w:val="both"/>
        <w:rPr>
          <w:rFonts w:ascii="Arial" w:hAnsi="Arial" w:cs="Arial"/>
          <w:sz w:val="22"/>
          <w:szCs w:val="22"/>
        </w:rPr>
      </w:pPr>
    </w:p>
    <w:p w14:paraId="425E1F25" w14:textId="77777777" w:rsidR="00C530E6" w:rsidRDefault="00C530E6" w:rsidP="00C530E6">
      <w:pPr>
        <w:pStyle w:val="Standard"/>
        <w:autoSpaceDE w:val="0"/>
        <w:spacing w:before="120"/>
        <w:ind w:right="57"/>
        <w:jc w:val="both"/>
        <w:rPr>
          <w:rFonts w:ascii="Arial" w:hAnsi="Arial" w:cs="Arial"/>
          <w:sz w:val="22"/>
          <w:szCs w:val="22"/>
        </w:rPr>
      </w:pPr>
      <w:r>
        <w:rPr>
          <w:rFonts w:ascii="Arial" w:hAnsi="Arial" w:cs="Arial"/>
          <w:sz w:val="22"/>
          <w:szCs w:val="22"/>
        </w:rPr>
        <w:t>TENUTO CONTO</w:t>
      </w:r>
    </w:p>
    <w:p w14:paraId="2FDDAE5A" w14:textId="77777777" w:rsidR="00C530E6" w:rsidRDefault="00C530E6" w:rsidP="00C530E6">
      <w:pPr>
        <w:pStyle w:val="Standard"/>
        <w:autoSpaceDE w:val="0"/>
        <w:spacing w:before="120"/>
        <w:ind w:right="57"/>
        <w:jc w:val="both"/>
        <w:rPr>
          <w:rFonts w:ascii="Arial" w:hAnsi="Arial" w:cs="Arial"/>
          <w:sz w:val="22"/>
          <w:szCs w:val="22"/>
        </w:rPr>
      </w:pPr>
    </w:p>
    <w:p w14:paraId="3F8813DD" w14:textId="77777777" w:rsidR="00551009" w:rsidRPr="00B139E8" w:rsidRDefault="00551009" w:rsidP="00551009">
      <w:pPr>
        <w:pStyle w:val="Standard"/>
        <w:autoSpaceDE w:val="0"/>
        <w:spacing w:before="120"/>
        <w:ind w:right="57"/>
        <w:jc w:val="both"/>
        <w:rPr>
          <w:rFonts w:ascii="Arial" w:hAnsi="Arial" w:cs="Arial"/>
          <w:sz w:val="22"/>
          <w:szCs w:val="22"/>
        </w:rPr>
      </w:pPr>
      <w:r w:rsidRPr="00B139E8">
        <w:rPr>
          <w:rFonts w:ascii="Arial" w:hAnsi="Arial" w:cs="Arial"/>
          <w:sz w:val="22"/>
          <w:szCs w:val="22"/>
        </w:rPr>
        <w:t xml:space="preserve">che la </w:t>
      </w:r>
      <w:r w:rsidRPr="00B139E8">
        <w:rPr>
          <w:rFonts w:ascii="Arial" w:hAnsi="Arial" w:cs="Arial"/>
          <w:noProof/>
          <w:sz w:val="22"/>
          <w:szCs w:val="22"/>
        </w:rPr>
        <w:t>Regione Lombardia</w:t>
      </w:r>
      <w:r w:rsidRPr="00B139E8">
        <w:rPr>
          <w:rFonts w:ascii="Arial" w:hAnsi="Arial" w:cs="Arial"/>
          <w:sz w:val="22"/>
          <w:szCs w:val="22"/>
        </w:rPr>
        <w:t xml:space="preserve"> ha rappresentato l’esigenza di adattare il progetto sperimentale in funzione delle seguenti priorità: </w:t>
      </w:r>
    </w:p>
    <w:p w14:paraId="626EE08C" w14:textId="77777777" w:rsidR="00551009" w:rsidRPr="00B139E8" w:rsidRDefault="00551009" w:rsidP="00551009">
      <w:pPr>
        <w:pStyle w:val="Standard"/>
        <w:numPr>
          <w:ilvl w:val="0"/>
          <w:numId w:val="23"/>
        </w:numPr>
        <w:jc w:val="both"/>
        <w:rPr>
          <w:rFonts w:ascii="Arial" w:hAnsi="Arial" w:cs="Arial"/>
          <w:sz w:val="22"/>
          <w:szCs w:val="22"/>
        </w:rPr>
      </w:pPr>
      <w:r w:rsidRPr="00B139E8">
        <w:rPr>
          <w:rFonts w:ascii="Arial" w:hAnsi="Arial" w:cs="Arial"/>
          <w:sz w:val="22"/>
          <w:szCs w:val="22"/>
        </w:rPr>
        <w:t xml:space="preserve">Potenziare e consolidare l’Apprendistato per la qualifica e il diploma professionale, il diploma di istruzione secondaria superiore e il certificato di specializzazione tecnica superiore; </w:t>
      </w:r>
    </w:p>
    <w:p w14:paraId="302BC3CA" w14:textId="7969014A" w:rsidR="00C530E6" w:rsidRPr="00B139E8" w:rsidRDefault="00551009" w:rsidP="00551009">
      <w:pPr>
        <w:pStyle w:val="Standard"/>
        <w:numPr>
          <w:ilvl w:val="0"/>
          <w:numId w:val="23"/>
        </w:numPr>
        <w:jc w:val="both"/>
        <w:rPr>
          <w:rFonts w:ascii="Arial" w:hAnsi="Arial" w:cs="Arial"/>
          <w:sz w:val="22"/>
          <w:szCs w:val="22"/>
        </w:rPr>
      </w:pPr>
      <w:r w:rsidRPr="00B139E8">
        <w:rPr>
          <w:rFonts w:ascii="Arial" w:hAnsi="Arial" w:cs="Arial"/>
          <w:sz w:val="22"/>
          <w:szCs w:val="22"/>
        </w:rPr>
        <w:t>Potenziare e consolidare le esperienze di alternanza scuola-lavoro nei percorsi di qualifica e diploma di Istruzione e formazione professionale secondo quanto previsto nelle indicazione  regionali dell’offerta formativa di cui all’art. 22 della L.</w:t>
      </w:r>
      <w:r w:rsidR="00FB5BF7" w:rsidRPr="00B139E8">
        <w:rPr>
          <w:rFonts w:ascii="Arial" w:hAnsi="Arial" w:cs="Arial"/>
          <w:sz w:val="22"/>
          <w:szCs w:val="22"/>
        </w:rPr>
        <w:t xml:space="preserve">R.  n. </w:t>
      </w:r>
      <w:r w:rsidRPr="00B139E8">
        <w:rPr>
          <w:rFonts w:ascii="Arial" w:hAnsi="Arial" w:cs="Arial"/>
          <w:sz w:val="22"/>
          <w:szCs w:val="22"/>
        </w:rPr>
        <w:t xml:space="preserve"> 19/2007 e s.m.i;</w:t>
      </w:r>
    </w:p>
    <w:p w14:paraId="1A02EA16" w14:textId="77777777" w:rsidR="00C530E6" w:rsidRDefault="00C530E6" w:rsidP="00C530E6">
      <w:pPr>
        <w:pStyle w:val="Standard"/>
        <w:autoSpaceDE w:val="0"/>
        <w:spacing w:before="120"/>
        <w:ind w:right="57"/>
        <w:jc w:val="both"/>
        <w:rPr>
          <w:rFonts w:ascii="Arial" w:hAnsi="Arial" w:cs="Arial"/>
          <w:sz w:val="22"/>
          <w:szCs w:val="22"/>
        </w:rPr>
      </w:pPr>
    </w:p>
    <w:p w14:paraId="7CDB0F54" w14:textId="77777777" w:rsidR="00C530E6" w:rsidRDefault="00C530E6" w:rsidP="00C530E6">
      <w:pPr>
        <w:pStyle w:val="Standard"/>
        <w:autoSpaceDE w:val="0"/>
        <w:spacing w:before="120"/>
        <w:ind w:right="57"/>
        <w:jc w:val="center"/>
        <w:rPr>
          <w:rFonts w:ascii="Arial" w:hAnsi="Arial" w:cs="Arial"/>
          <w:sz w:val="22"/>
          <w:szCs w:val="22"/>
        </w:rPr>
      </w:pPr>
      <w:r>
        <w:rPr>
          <w:rFonts w:ascii="Arial" w:hAnsi="Arial" w:cs="Arial"/>
          <w:sz w:val="22"/>
          <w:szCs w:val="22"/>
        </w:rPr>
        <w:t>Le Parti convengono quanto segue</w:t>
      </w:r>
    </w:p>
    <w:p w14:paraId="7AE7F256" w14:textId="77777777" w:rsidR="00C530E6" w:rsidRDefault="00C530E6" w:rsidP="00C530E6">
      <w:pPr>
        <w:pStyle w:val="Standard"/>
        <w:autoSpaceDE w:val="0"/>
        <w:spacing w:before="120"/>
        <w:ind w:right="57"/>
        <w:jc w:val="center"/>
        <w:rPr>
          <w:rFonts w:ascii="Arial" w:hAnsi="Arial" w:cs="Arial"/>
          <w:sz w:val="22"/>
          <w:szCs w:val="22"/>
        </w:rPr>
      </w:pPr>
    </w:p>
    <w:p w14:paraId="2F48D1F1" w14:textId="77777777" w:rsidR="00C530E6" w:rsidRDefault="00C530E6" w:rsidP="00C530E6">
      <w:pPr>
        <w:pStyle w:val="Standard"/>
        <w:autoSpaceDE w:val="0"/>
        <w:spacing w:before="120"/>
        <w:ind w:right="57"/>
        <w:jc w:val="center"/>
        <w:rPr>
          <w:rFonts w:ascii="Arial" w:hAnsi="Arial" w:cs="Arial"/>
          <w:sz w:val="22"/>
          <w:szCs w:val="22"/>
        </w:rPr>
      </w:pPr>
      <w:r>
        <w:rPr>
          <w:rFonts w:ascii="Arial" w:hAnsi="Arial" w:cs="Arial"/>
          <w:sz w:val="22"/>
          <w:szCs w:val="22"/>
        </w:rPr>
        <w:t>Art. 1</w:t>
      </w:r>
    </w:p>
    <w:p w14:paraId="17AAD867" w14:textId="77777777" w:rsidR="00C530E6" w:rsidRDefault="00C530E6" w:rsidP="00C530E6">
      <w:pPr>
        <w:pStyle w:val="Standard"/>
        <w:ind w:left="720"/>
        <w:rPr>
          <w:rFonts w:ascii="Arial" w:hAnsi="Arial" w:cs="Arial"/>
          <w:sz w:val="22"/>
          <w:szCs w:val="22"/>
        </w:rPr>
      </w:pPr>
      <w:r>
        <w:rPr>
          <w:rFonts w:ascii="Arial" w:hAnsi="Arial" w:cs="Arial"/>
          <w:sz w:val="22"/>
          <w:szCs w:val="22"/>
        </w:rPr>
        <w:t xml:space="preserve">                                               (adattamento Linea 2)</w:t>
      </w:r>
    </w:p>
    <w:p w14:paraId="103CB6B2" w14:textId="77777777" w:rsidR="00C530E6" w:rsidRDefault="00C530E6" w:rsidP="00C530E6">
      <w:pPr>
        <w:pStyle w:val="Standard"/>
        <w:ind w:left="720"/>
        <w:rPr>
          <w:rFonts w:ascii="Arial" w:hAnsi="Arial" w:cs="Arial"/>
          <w:sz w:val="22"/>
          <w:szCs w:val="22"/>
        </w:rPr>
      </w:pPr>
    </w:p>
    <w:p w14:paraId="0FB196D4" w14:textId="77777777" w:rsidR="00C76A25" w:rsidRPr="00B139E8" w:rsidRDefault="00BA2CF9" w:rsidP="00C76A25">
      <w:pPr>
        <w:pStyle w:val="Standard"/>
        <w:widowControl w:val="0"/>
        <w:numPr>
          <w:ilvl w:val="0"/>
          <w:numId w:val="21"/>
        </w:numPr>
        <w:pBdr>
          <w:top w:val="nil"/>
          <w:left w:val="nil"/>
          <w:bottom w:val="nil"/>
          <w:right w:val="nil"/>
          <w:between w:val="nil"/>
          <w:bar w:val="nil"/>
        </w:pBdr>
        <w:ind w:left="748" w:hanging="391"/>
        <w:jc w:val="both"/>
        <w:textAlignment w:val="auto"/>
        <w:rPr>
          <w:rFonts w:ascii="Arial" w:eastAsia="Arial" w:hAnsi="Arial" w:cs="Arial"/>
          <w:sz w:val="22"/>
          <w:szCs w:val="22"/>
        </w:rPr>
      </w:pPr>
      <w:r w:rsidRPr="00B139E8">
        <w:rPr>
          <w:rFonts w:ascii="Arial"/>
          <w:sz w:val="22"/>
          <w:szCs w:val="22"/>
        </w:rPr>
        <w:t>Le parti convengono che, per l</w:t>
      </w:r>
      <w:r w:rsidRPr="00B139E8">
        <w:rPr>
          <w:sz w:val="22"/>
          <w:szCs w:val="22"/>
        </w:rPr>
        <w:t>’</w:t>
      </w:r>
      <w:r w:rsidRPr="00B139E8">
        <w:rPr>
          <w:rFonts w:ascii="Arial"/>
          <w:sz w:val="22"/>
          <w:szCs w:val="22"/>
        </w:rPr>
        <w:t xml:space="preserve">attuazione del progetto sperimentale recante </w:t>
      </w:r>
      <w:r w:rsidRPr="00B139E8">
        <w:rPr>
          <w:sz w:val="22"/>
          <w:szCs w:val="22"/>
        </w:rPr>
        <w:t>“</w:t>
      </w:r>
      <w:r w:rsidRPr="00B139E8">
        <w:rPr>
          <w:rFonts w:ascii="Arial"/>
          <w:sz w:val="22"/>
          <w:szCs w:val="22"/>
        </w:rPr>
        <w:t>Azioni di accompagnamento, sviluppo e rafforzamento del sistema duale nell</w:t>
      </w:r>
      <w:r w:rsidRPr="00B139E8">
        <w:rPr>
          <w:sz w:val="22"/>
          <w:szCs w:val="22"/>
        </w:rPr>
        <w:t>’</w:t>
      </w:r>
      <w:r w:rsidRPr="00B139E8">
        <w:rPr>
          <w:rFonts w:ascii="Arial"/>
          <w:sz w:val="22"/>
          <w:szCs w:val="22"/>
        </w:rPr>
        <w:t>ambito dell</w:t>
      </w:r>
      <w:r w:rsidRPr="00B139E8">
        <w:rPr>
          <w:sz w:val="22"/>
          <w:szCs w:val="22"/>
        </w:rPr>
        <w:t>’</w:t>
      </w:r>
      <w:r w:rsidRPr="00B139E8">
        <w:rPr>
          <w:rFonts w:ascii="Arial"/>
          <w:sz w:val="22"/>
          <w:szCs w:val="22"/>
        </w:rPr>
        <w:t>istruzione e formazione professionale</w:t>
      </w:r>
      <w:r w:rsidRPr="00B139E8">
        <w:rPr>
          <w:sz w:val="22"/>
          <w:szCs w:val="22"/>
        </w:rPr>
        <w:t xml:space="preserve">” </w:t>
      </w:r>
      <w:r w:rsidRPr="00B139E8">
        <w:rPr>
          <w:rFonts w:ascii="Arial"/>
          <w:sz w:val="22"/>
          <w:szCs w:val="22"/>
        </w:rPr>
        <w:t>(d</w:t>
      </w:r>
      <w:r w:rsidRPr="00B139E8">
        <w:rPr>
          <w:sz w:val="22"/>
          <w:szCs w:val="22"/>
        </w:rPr>
        <w:t>’</w:t>
      </w:r>
      <w:r w:rsidRPr="00B139E8">
        <w:rPr>
          <w:rFonts w:ascii="Arial"/>
          <w:sz w:val="22"/>
          <w:szCs w:val="22"/>
        </w:rPr>
        <w:t>ora in poi sperimentazione) e in particolare per l</w:t>
      </w:r>
      <w:r w:rsidRPr="00B139E8">
        <w:rPr>
          <w:sz w:val="22"/>
          <w:szCs w:val="22"/>
        </w:rPr>
        <w:t>’</w:t>
      </w:r>
      <w:r w:rsidRPr="00B139E8">
        <w:rPr>
          <w:rFonts w:ascii="Arial"/>
          <w:sz w:val="22"/>
          <w:szCs w:val="22"/>
        </w:rPr>
        <w:t xml:space="preserve">attivazione della Linea 2 </w:t>
      </w:r>
      <w:r w:rsidRPr="00B139E8">
        <w:rPr>
          <w:sz w:val="22"/>
          <w:szCs w:val="22"/>
        </w:rPr>
        <w:t>“</w:t>
      </w:r>
      <w:r w:rsidRPr="00B139E8">
        <w:rPr>
          <w:rFonts w:ascii="Arial"/>
          <w:sz w:val="22"/>
          <w:szCs w:val="22"/>
        </w:rPr>
        <w:t>Sostegno di percorsi di IeFP nell</w:t>
      </w:r>
      <w:r w:rsidRPr="00B139E8">
        <w:rPr>
          <w:sz w:val="22"/>
          <w:szCs w:val="22"/>
        </w:rPr>
        <w:t>’</w:t>
      </w:r>
      <w:r w:rsidRPr="00B139E8">
        <w:rPr>
          <w:rFonts w:ascii="Arial"/>
          <w:sz w:val="22"/>
          <w:szCs w:val="22"/>
        </w:rPr>
        <w:t>ambito del sistema duale</w:t>
      </w:r>
      <w:r w:rsidRPr="00B139E8">
        <w:rPr>
          <w:sz w:val="22"/>
          <w:szCs w:val="22"/>
        </w:rPr>
        <w:t xml:space="preserve">” </w:t>
      </w:r>
      <w:r w:rsidRPr="00B139E8">
        <w:rPr>
          <w:rFonts w:ascii="Arial" w:hAnsi="Arial" w:cs="Arial"/>
          <w:sz w:val="22"/>
          <w:szCs w:val="22"/>
        </w:rPr>
        <w:t>saranno adottate  le seguenti modalità operative:</w:t>
      </w:r>
    </w:p>
    <w:p w14:paraId="2AA87CDC" w14:textId="77777777" w:rsidR="00C76A25" w:rsidRPr="00B139E8" w:rsidRDefault="00C76A25" w:rsidP="00C76A25">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B139E8">
        <w:rPr>
          <w:rFonts w:ascii="Arial"/>
          <w:sz w:val="22"/>
          <w:szCs w:val="22"/>
        </w:rPr>
        <w:t>Attivazione di percorsi formativi modulari finalizzati  all</w:t>
      </w:r>
      <w:r w:rsidRPr="00B139E8">
        <w:rPr>
          <w:rFonts w:ascii="Arial"/>
          <w:sz w:val="22"/>
          <w:szCs w:val="22"/>
        </w:rPr>
        <w:t>’</w:t>
      </w:r>
      <w:r w:rsidRPr="00B139E8">
        <w:rPr>
          <w:rFonts w:ascii="Arial"/>
          <w:sz w:val="22"/>
          <w:szCs w:val="22"/>
        </w:rPr>
        <w:t>acquisizione di un titolo di istruzione e formazione</w:t>
      </w:r>
      <w:r w:rsidRPr="00B139E8">
        <w:rPr>
          <w:rFonts w:ascii="Arial" w:hAnsi="Arial" w:cs="Arial"/>
          <w:sz w:val="22"/>
          <w:szCs w:val="22"/>
          <w:u w:color="7030A0"/>
        </w:rPr>
        <w:t xml:space="preserve"> professionale attraverso il sistema duale e definiti, sia in termini metodologici che di durata di ogni singolo percorso, sulla base del servizio di validazione delle competenze acquisite in contesti formali e non formali.</w:t>
      </w:r>
    </w:p>
    <w:p w14:paraId="77852E2D" w14:textId="77777777" w:rsidR="00C76A25" w:rsidRPr="00B139E8" w:rsidRDefault="00BA2CF9" w:rsidP="00C76A25">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B139E8">
        <w:rPr>
          <w:rFonts w:ascii="Arial" w:hAnsi="Arial" w:cs="Arial"/>
          <w:sz w:val="22"/>
          <w:szCs w:val="22"/>
          <w:u w:color="7030A0"/>
        </w:rPr>
        <w:t>Avvio di percorsi formativi di quarto anno per il conseguimento del diploma professionale, allargando l’offerta nel suo sviluppo verticale.</w:t>
      </w:r>
    </w:p>
    <w:p w14:paraId="02F3BDFF" w14:textId="77777777" w:rsidR="00C76A25" w:rsidRPr="00B139E8" w:rsidRDefault="00BA2CF9" w:rsidP="00C76A25">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B139E8">
        <w:rPr>
          <w:rFonts w:ascii="Arial" w:hAnsi="Arial" w:cs="Arial"/>
          <w:sz w:val="22"/>
          <w:szCs w:val="22"/>
          <w:u w:color="7030A0"/>
        </w:rPr>
        <w:t>Sperimentazione di azioni formative di quinto anno per il conseguimento del certificato di specializzazione tecnica superiore.</w:t>
      </w:r>
    </w:p>
    <w:p w14:paraId="6409D15C" w14:textId="77777777" w:rsidR="00C76A25" w:rsidRPr="00B139E8" w:rsidRDefault="00BA2CF9" w:rsidP="00C76A25">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B139E8">
        <w:rPr>
          <w:rFonts w:ascii="Arial" w:hAnsi="Arial" w:cs="Arial"/>
          <w:sz w:val="22"/>
          <w:szCs w:val="22"/>
          <w:u w:color="7030A0"/>
        </w:rPr>
        <w:t>Allargamento della sperimentazione di apprendimento duale a quei giovani interessati già frequentanti i secondi, i terzi e i quarti anni dei percorsi ordinari di IeFP.</w:t>
      </w:r>
    </w:p>
    <w:p w14:paraId="3E4C5415" w14:textId="0D4E26AA" w:rsidR="00201729" w:rsidRPr="00B139E8" w:rsidRDefault="00BA2CF9" w:rsidP="00C76A25">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B139E8">
        <w:rPr>
          <w:rFonts w:ascii="Arial" w:hAnsi="Arial" w:cs="Arial"/>
          <w:sz w:val="22"/>
          <w:szCs w:val="22"/>
          <w:u w:color="7030A0"/>
        </w:rPr>
        <w:t>Immediata programmazione dei percorsi di primo anno d</w:t>
      </w:r>
      <w:r w:rsidR="00783128" w:rsidRPr="00B139E8">
        <w:rPr>
          <w:rFonts w:ascii="Arial" w:hAnsi="Arial" w:cs="Arial"/>
          <w:sz w:val="22"/>
          <w:szCs w:val="22"/>
          <w:u w:color="7030A0"/>
        </w:rPr>
        <w:t xml:space="preserve">el sistema duale assicurandone </w:t>
      </w:r>
      <w:r w:rsidRPr="00B139E8">
        <w:rPr>
          <w:rFonts w:ascii="Arial" w:hAnsi="Arial" w:cs="Arial"/>
          <w:sz w:val="22"/>
          <w:szCs w:val="22"/>
          <w:u w:color="7030A0"/>
        </w:rPr>
        <w:t>la partenza dal prossimo settembre 2016.</w:t>
      </w:r>
    </w:p>
    <w:p w14:paraId="64EDAFD4" w14:textId="264DBA18" w:rsidR="00201729" w:rsidRPr="00201729" w:rsidRDefault="00201729" w:rsidP="00201729">
      <w:pPr>
        <w:widowControl/>
        <w:tabs>
          <w:tab w:val="num" w:pos="753"/>
        </w:tabs>
        <w:suppressAutoHyphens w:val="0"/>
        <w:ind w:left="708"/>
        <w:jc w:val="both"/>
        <w:rPr>
          <w:rFonts w:ascii="Arial" w:hAnsi="Arial" w:cs="Arial"/>
          <w:sz w:val="22"/>
          <w:szCs w:val="22"/>
          <w:u w:color="7030A0"/>
        </w:rPr>
      </w:pPr>
    </w:p>
    <w:p w14:paraId="3829E77A" w14:textId="77777777" w:rsidR="006F5294" w:rsidRDefault="006F5294" w:rsidP="00C530E6">
      <w:pPr>
        <w:pStyle w:val="Standard"/>
        <w:jc w:val="both"/>
        <w:rPr>
          <w:rFonts w:ascii="Arial" w:hAnsi="Arial" w:cs="Arial"/>
          <w:sz w:val="22"/>
          <w:szCs w:val="22"/>
        </w:rPr>
      </w:pPr>
    </w:p>
    <w:p w14:paraId="7B31911B" w14:textId="77777777" w:rsidR="00C530E6" w:rsidRDefault="00C530E6" w:rsidP="00C530E6">
      <w:pPr>
        <w:pStyle w:val="Standard"/>
        <w:jc w:val="center"/>
        <w:rPr>
          <w:rFonts w:ascii="Arial" w:hAnsi="Arial" w:cs="Arial"/>
          <w:sz w:val="22"/>
          <w:szCs w:val="22"/>
        </w:rPr>
      </w:pPr>
      <w:r>
        <w:rPr>
          <w:rFonts w:ascii="Arial" w:hAnsi="Arial" w:cs="Arial"/>
          <w:sz w:val="22"/>
          <w:szCs w:val="22"/>
        </w:rPr>
        <w:t>Art. 2</w:t>
      </w:r>
    </w:p>
    <w:p w14:paraId="3798AB13" w14:textId="77777777" w:rsidR="00C530E6" w:rsidRDefault="00C530E6" w:rsidP="00C530E6">
      <w:pPr>
        <w:pStyle w:val="Standard"/>
        <w:jc w:val="center"/>
        <w:rPr>
          <w:rFonts w:ascii="Arial" w:hAnsi="Arial" w:cs="Arial"/>
          <w:sz w:val="22"/>
          <w:szCs w:val="22"/>
        </w:rPr>
      </w:pPr>
      <w:r>
        <w:rPr>
          <w:rFonts w:ascii="Arial" w:hAnsi="Arial" w:cs="Arial"/>
          <w:sz w:val="22"/>
          <w:szCs w:val="22"/>
        </w:rPr>
        <w:t>(avvio e durata)</w:t>
      </w:r>
    </w:p>
    <w:p w14:paraId="76E7D1E3" w14:textId="77777777" w:rsidR="00C530E6" w:rsidRDefault="00C530E6" w:rsidP="00C530E6">
      <w:pPr>
        <w:pStyle w:val="Standard"/>
        <w:jc w:val="center"/>
        <w:rPr>
          <w:rFonts w:ascii="Arial" w:hAnsi="Arial" w:cs="Arial"/>
          <w:sz w:val="22"/>
          <w:szCs w:val="22"/>
        </w:rPr>
      </w:pPr>
    </w:p>
    <w:p w14:paraId="366BF770" w14:textId="77777777" w:rsidR="00C530E6" w:rsidRDefault="00C530E6" w:rsidP="00C530E6">
      <w:pPr>
        <w:pStyle w:val="Standard"/>
        <w:numPr>
          <w:ilvl w:val="0"/>
          <w:numId w:val="14"/>
        </w:numPr>
        <w:jc w:val="both"/>
        <w:rPr>
          <w:rFonts w:ascii="Arial" w:hAnsi="Arial" w:cs="Arial"/>
          <w:sz w:val="22"/>
          <w:szCs w:val="22"/>
        </w:rPr>
      </w:pPr>
      <w:r>
        <w:rPr>
          <w:rFonts w:ascii="Arial" w:hAnsi="Arial" w:cs="Arial"/>
          <w:sz w:val="22"/>
          <w:szCs w:val="22"/>
        </w:rPr>
        <w:t>La Linea 2 si realizza con l’attivazione di percorsi formativi a partire dall’anno formativo 2015/2016 e/o nell’anno formativo 2016/2017 e si esaurisce al termine della durata ordinaria dei percorsi attivati nelle predette annualità.</w:t>
      </w:r>
    </w:p>
    <w:p w14:paraId="670054D5" w14:textId="77777777" w:rsidR="00C530E6" w:rsidRPr="00342302" w:rsidRDefault="00C530E6" w:rsidP="00C530E6">
      <w:pPr>
        <w:pStyle w:val="Standard"/>
        <w:numPr>
          <w:ilvl w:val="0"/>
          <w:numId w:val="14"/>
        </w:numPr>
        <w:jc w:val="both"/>
        <w:rPr>
          <w:rFonts w:ascii="Arial" w:hAnsi="Arial" w:cs="Arial"/>
          <w:sz w:val="22"/>
          <w:szCs w:val="22"/>
        </w:rPr>
      </w:pPr>
      <w:r w:rsidRPr="00342302">
        <w:rPr>
          <w:rFonts w:ascii="Arial" w:hAnsi="Arial" w:cs="Arial"/>
          <w:sz w:val="22"/>
          <w:szCs w:val="22"/>
        </w:rPr>
        <w:t>La Regione, nell’ambito della propria programmazione, può prevedere l’attivazione di percorsi per studenti nelle diverse annualità della IeFP, dalla prima alla quarta. Ferme restando le risorse assegnate, potranno inoltre essere sperimentate azioni formative di conseguimento del certificato di specializzazione tecnica superiore mediante un quinto anno da realizzarsi nella stessa filiera formativa.</w:t>
      </w:r>
    </w:p>
    <w:p w14:paraId="169D11BD" w14:textId="77777777" w:rsidR="00422BA2" w:rsidRPr="007C62F3" w:rsidRDefault="00422BA2" w:rsidP="003663A3">
      <w:pPr>
        <w:pStyle w:val="Standard"/>
        <w:widowControl w:val="0"/>
        <w:numPr>
          <w:ilvl w:val="0"/>
          <w:numId w:val="14"/>
        </w:numPr>
        <w:pBdr>
          <w:top w:val="nil"/>
          <w:left w:val="nil"/>
          <w:bottom w:val="nil"/>
          <w:right w:val="nil"/>
          <w:between w:val="nil"/>
          <w:bar w:val="nil"/>
        </w:pBdr>
        <w:jc w:val="both"/>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r w:rsidRPr="007C62F3">
        <w:rPr>
          <w:rFonts w:ascii="Arial"/>
          <w:sz w:val="22"/>
          <w:szCs w:val="22"/>
        </w:rPr>
        <w:t xml:space="preserve"> </w:t>
      </w:r>
    </w:p>
    <w:p w14:paraId="08E91727" w14:textId="77777777" w:rsidR="007E0E98" w:rsidRPr="007E0E98" w:rsidRDefault="007E0E98" w:rsidP="007E0E98">
      <w:pPr>
        <w:pStyle w:val="Standard"/>
        <w:widowControl w:val="0"/>
        <w:pBdr>
          <w:top w:val="nil"/>
          <w:left w:val="nil"/>
          <w:bottom w:val="nil"/>
          <w:right w:val="nil"/>
          <w:between w:val="nil"/>
          <w:bar w:val="nil"/>
        </w:pBdr>
        <w:ind w:left="720"/>
        <w:textAlignment w:val="auto"/>
        <w:rPr>
          <w:rFonts w:ascii="Arial" w:eastAsia="Arial" w:hAnsi="Arial" w:cs="Arial"/>
          <w:strike/>
          <w:sz w:val="22"/>
          <w:szCs w:val="22"/>
          <w:highlight w:val="green"/>
        </w:rPr>
      </w:pPr>
    </w:p>
    <w:p w14:paraId="6CFBAB8D" w14:textId="77777777" w:rsidR="00C530E6" w:rsidRDefault="00C530E6" w:rsidP="00C530E6">
      <w:pPr>
        <w:pStyle w:val="Standard"/>
        <w:jc w:val="center"/>
        <w:rPr>
          <w:rFonts w:ascii="Arial" w:hAnsi="Arial" w:cs="Arial"/>
          <w:sz w:val="22"/>
          <w:szCs w:val="22"/>
        </w:rPr>
      </w:pPr>
    </w:p>
    <w:p w14:paraId="0DF12FB8" w14:textId="77777777" w:rsidR="00C530E6" w:rsidRDefault="00C530E6" w:rsidP="00C530E6">
      <w:pPr>
        <w:pStyle w:val="Standard"/>
        <w:jc w:val="center"/>
        <w:rPr>
          <w:rFonts w:ascii="Arial" w:hAnsi="Arial" w:cs="Arial"/>
          <w:sz w:val="22"/>
          <w:szCs w:val="22"/>
        </w:rPr>
      </w:pPr>
      <w:r>
        <w:rPr>
          <w:rFonts w:ascii="Arial" w:hAnsi="Arial" w:cs="Arial"/>
          <w:sz w:val="22"/>
          <w:szCs w:val="22"/>
        </w:rPr>
        <w:t>Art. 3</w:t>
      </w:r>
    </w:p>
    <w:p w14:paraId="78C0641B" w14:textId="77777777" w:rsidR="00C530E6" w:rsidRDefault="00C530E6" w:rsidP="00C530E6">
      <w:pPr>
        <w:pStyle w:val="Standard"/>
        <w:jc w:val="center"/>
        <w:rPr>
          <w:rFonts w:ascii="Arial" w:hAnsi="Arial" w:cs="Arial"/>
          <w:sz w:val="22"/>
          <w:szCs w:val="22"/>
        </w:rPr>
      </w:pPr>
      <w:r>
        <w:rPr>
          <w:rFonts w:ascii="Arial" w:hAnsi="Arial" w:cs="Arial"/>
          <w:sz w:val="22"/>
          <w:szCs w:val="22"/>
        </w:rPr>
        <w:t>(costi della formazione e dei servizi e rendicontazione)</w:t>
      </w:r>
    </w:p>
    <w:p w14:paraId="07CD5DD7" w14:textId="77777777" w:rsidR="00C530E6" w:rsidRDefault="00C530E6" w:rsidP="00C530E6">
      <w:pPr>
        <w:pStyle w:val="Standard"/>
        <w:jc w:val="both"/>
        <w:rPr>
          <w:rFonts w:ascii="Arial" w:hAnsi="Arial" w:cs="Arial"/>
          <w:sz w:val="22"/>
          <w:szCs w:val="22"/>
        </w:rPr>
      </w:pPr>
    </w:p>
    <w:p w14:paraId="6C95C8A9" w14:textId="77777777" w:rsidR="00C530E6" w:rsidRPr="00342302" w:rsidRDefault="00C530E6" w:rsidP="00C530E6">
      <w:pPr>
        <w:pStyle w:val="Standard"/>
        <w:numPr>
          <w:ilvl w:val="0"/>
          <w:numId w:val="16"/>
        </w:numPr>
        <w:jc w:val="both"/>
        <w:rPr>
          <w:rFonts w:ascii="Arial" w:hAnsi="Arial" w:cs="Arial"/>
          <w:sz w:val="22"/>
          <w:szCs w:val="22"/>
        </w:rPr>
      </w:pPr>
      <w:r w:rsidRPr="00342302">
        <w:rPr>
          <w:rFonts w:ascii="Arial" w:hAnsi="Arial" w:cs="Arial"/>
          <w:sz w:val="22"/>
          <w:szCs w:val="22"/>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w:t>
      </w:r>
      <w:r>
        <w:rPr>
          <w:rFonts w:ascii="Arial" w:hAnsi="Arial" w:cs="Arial"/>
          <w:sz w:val="22"/>
          <w:szCs w:val="22"/>
        </w:rPr>
        <w:t xml:space="preserve"> Laddove previsto da tali metodologie, i costi riconosciuti potranno riguardare anche le componenti relative alla formazione per la sicurezza del lavoro ed alla certificazione delle competenze.</w:t>
      </w:r>
    </w:p>
    <w:p w14:paraId="493FE724" w14:textId="77777777" w:rsidR="00C530E6" w:rsidRDefault="00C530E6" w:rsidP="00C530E6">
      <w:pPr>
        <w:pStyle w:val="Standard"/>
        <w:jc w:val="both"/>
        <w:rPr>
          <w:rFonts w:ascii="Arial" w:hAnsi="Arial" w:cs="Arial"/>
          <w:sz w:val="22"/>
          <w:szCs w:val="22"/>
        </w:rPr>
      </w:pPr>
    </w:p>
    <w:p w14:paraId="339331B6" w14:textId="77777777" w:rsidR="00C530E6" w:rsidRDefault="00C530E6" w:rsidP="00C530E6">
      <w:pPr>
        <w:pStyle w:val="Standard"/>
        <w:jc w:val="center"/>
        <w:rPr>
          <w:rFonts w:ascii="Arial" w:hAnsi="Arial" w:cs="Arial"/>
          <w:sz w:val="22"/>
          <w:szCs w:val="22"/>
        </w:rPr>
      </w:pPr>
      <w:r>
        <w:rPr>
          <w:rFonts w:ascii="Arial" w:hAnsi="Arial" w:cs="Arial"/>
          <w:sz w:val="22"/>
          <w:szCs w:val="22"/>
        </w:rPr>
        <w:t>Art. 4</w:t>
      </w:r>
    </w:p>
    <w:p w14:paraId="30E6E098" w14:textId="77777777" w:rsidR="00C530E6" w:rsidRDefault="00C530E6" w:rsidP="00C530E6">
      <w:pPr>
        <w:pStyle w:val="Standard"/>
        <w:jc w:val="center"/>
        <w:rPr>
          <w:rFonts w:ascii="Arial" w:hAnsi="Arial" w:cs="Arial"/>
          <w:sz w:val="22"/>
          <w:szCs w:val="22"/>
        </w:rPr>
      </w:pPr>
      <w:r>
        <w:rPr>
          <w:rFonts w:ascii="Arial" w:hAnsi="Arial" w:cs="Arial"/>
          <w:sz w:val="22"/>
          <w:szCs w:val="22"/>
        </w:rPr>
        <w:t>(raccolta dati, monitoraggio e valutazione)</w:t>
      </w:r>
    </w:p>
    <w:p w14:paraId="2442FA04" w14:textId="77777777" w:rsidR="00C530E6" w:rsidRPr="005E41C3" w:rsidRDefault="00C530E6" w:rsidP="00C530E6">
      <w:pPr>
        <w:pStyle w:val="Standard"/>
        <w:jc w:val="both"/>
        <w:rPr>
          <w:rFonts w:ascii="Arial" w:hAnsi="Arial" w:cs="Arial"/>
          <w:sz w:val="22"/>
          <w:szCs w:val="22"/>
        </w:rPr>
      </w:pPr>
    </w:p>
    <w:p w14:paraId="387E3A47" w14:textId="77777777" w:rsidR="00C530E6" w:rsidRDefault="00BA2CF9" w:rsidP="00BA2CF9">
      <w:pPr>
        <w:pStyle w:val="Paragrafoelenco"/>
        <w:numPr>
          <w:ilvl w:val="0"/>
          <w:numId w:val="17"/>
        </w:numPr>
        <w:jc w:val="both"/>
        <w:rPr>
          <w:rFonts w:ascii="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 xml:space="preserve">  del Ministero del Lavoro e delle Politiche </w:t>
      </w:r>
      <w:r>
        <w:rPr>
          <w:rFonts w:ascii="Arial"/>
          <w:sz w:val="22"/>
          <w:szCs w:val="22"/>
        </w:rPr>
        <w:t>Sociali.</w:t>
      </w:r>
    </w:p>
    <w:p w14:paraId="5D8E92ED" w14:textId="77777777" w:rsidR="00C530E6" w:rsidRDefault="00C530E6" w:rsidP="00C530E6">
      <w:pPr>
        <w:jc w:val="center"/>
        <w:rPr>
          <w:rFonts w:ascii="Arial" w:hAnsi="Arial" w:cs="Arial"/>
          <w:sz w:val="22"/>
          <w:szCs w:val="22"/>
        </w:rPr>
      </w:pPr>
    </w:p>
    <w:p w14:paraId="41A785D5" w14:textId="77777777" w:rsidR="00C530E6" w:rsidRDefault="00C530E6" w:rsidP="00C530E6">
      <w:pPr>
        <w:jc w:val="center"/>
        <w:rPr>
          <w:rFonts w:ascii="Arial" w:hAnsi="Arial" w:cs="Arial"/>
          <w:sz w:val="22"/>
          <w:szCs w:val="22"/>
        </w:rPr>
      </w:pPr>
      <w:r>
        <w:rPr>
          <w:rFonts w:ascii="Arial" w:hAnsi="Arial" w:cs="Arial"/>
          <w:sz w:val="22"/>
          <w:szCs w:val="22"/>
        </w:rPr>
        <w:t xml:space="preserve">Art. </w:t>
      </w:r>
      <w:r w:rsidR="00BA2CF9">
        <w:rPr>
          <w:rFonts w:ascii="Arial" w:hAnsi="Arial" w:cs="Arial"/>
          <w:sz w:val="22"/>
          <w:szCs w:val="22"/>
        </w:rPr>
        <w:t>5</w:t>
      </w:r>
    </w:p>
    <w:p w14:paraId="52C62042" w14:textId="77777777" w:rsidR="00C530E6" w:rsidRDefault="00C530E6" w:rsidP="00C530E6">
      <w:pPr>
        <w:jc w:val="center"/>
        <w:rPr>
          <w:rFonts w:ascii="Arial" w:hAnsi="Arial" w:cs="Arial"/>
          <w:sz w:val="22"/>
          <w:szCs w:val="22"/>
        </w:rPr>
      </w:pPr>
      <w:r>
        <w:rPr>
          <w:rFonts w:ascii="Arial" w:hAnsi="Arial" w:cs="Arial"/>
          <w:sz w:val="22"/>
          <w:szCs w:val="22"/>
        </w:rPr>
        <w:t>(risorse finanziarie)</w:t>
      </w:r>
    </w:p>
    <w:p w14:paraId="15D062B0" w14:textId="77777777" w:rsidR="00C530E6" w:rsidRDefault="00C530E6" w:rsidP="00C530E6">
      <w:pPr>
        <w:jc w:val="center"/>
        <w:rPr>
          <w:rFonts w:ascii="Arial" w:hAnsi="Arial" w:cs="Arial"/>
          <w:sz w:val="22"/>
          <w:szCs w:val="22"/>
        </w:rPr>
      </w:pPr>
    </w:p>
    <w:p w14:paraId="7666C430" w14:textId="0B24771E" w:rsidR="00C530E6" w:rsidRPr="005B24A1" w:rsidRDefault="00C530E6" w:rsidP="00C530E6">
      <w:pPr>
        <w:pStyle w:val="Paragrafoelenco"/>
        <w:numPr>
          <w:ilvl w:val="0"/>
          <w:numId w:val="20"/>
        </w:numPr>
        <w:jc w:val="both"/>
        <w:rPr>
          <w:rFonts w:ascii="Arial" w:hAnsi="Arial" w:cs="Arial"/>
          <w:sz w:val="22"/>
          <w:szCs w:val="22"/>
        </w:rPr>
      </w:pPr>
      <w:r w:rsidRPr="00342302">
        <w:rPr>
          <w:rFonts w:ascii="Arial" w:hAnsi="Arial" w:cs="Arial"/>
          <w:sz w:val="22"/>
          <w:szCs w:val="22"/>
        </w:rPr>
        <w:t xml:space="preserve">L’ammontare delle risorse destinate alla realizzazione della </w:t>
      </w:r>
      <w:r w:rsidRPr="005B24A1">
        <w:rPr>
          <w:rFonts w:ascii="Arial" w:hAnsi="Arial" w:cs="Arial"/>
          <w:sz w:val="22"/>
          <w:szCs w:val="22"/>
        </w:rPr>
        <w:t xml:space="preserve">Linea 2 nella </w:t>
      </w:r>
      <w:r w:rsidRPr="005F54C2">
        <w:rPr>
          <w:rFonts w:ascii="Arial" w:hAnsi="Arial" w:cs="Arial"/>
          <w:noProof/>
          <w:sz w:val="22"/>
          <w:szCs w:val="22"/>
        </w:rPr>
        <w:t>Regione Lombardia</w:t>
      </w:r>
      <w:r w:rsidRPr="005B24A1">
        <w:rPr>
          <w:rFonts w:ascii="Arial" w:hAnsi="Arial" w:cs="Arial"/>
          <w:sz w:val="22"/>
          <w:szCs w:val="22"/>
        </w:rPr>
        <w:t xml:space="preserve"> per </w:t>
      </w:r>
      <w:r w:rsidR="00B139E8">
        <w:rPr>
          <w:rFonts w:ascii="Arial" w:hAnsi="Arial" w:cs="Arial"/>
          <w:sz w:val="22"/>
          <w:szCs w:val="22"/>
        </w:rPr>
        <w:t>l’anno</w:t>
      </w:r>
      <w:r w:rsidRPr="005B24A1">
        <w:rPr>
          <w:rFonts w:ascii="Arial" w:hAnsi="Arial" w:cs="Arial"/>
          <w:sz w:val="22"/>
          <w:szCs w:val="22"/>
        </w:rPr>
        <w:t xml:space="preserve"> 2015 è pari ad Euro </w:t>
      </w:r>
      <w:r w:rsidRPr="005F54C2">
        <w:rPr>
          <w:rFonts w:ascii="Arial" w:hAnsi="Arial" w:cs="Arial"/>
          <w:noProof/>
          <w:sz w:val="22"/>
          <w:szCs w:val="22"/>
        </w:rPr>
        <w:t>27.</w:t>
      </w:r>
      <w:r w:rsidR="00B139E8">
        <w:rPr>
          <w:rFonts w:ascii="Arial" w:hAnsi="Arial" w:cs="Arial"/>
          <w:noProof/>
          <w:sz w:val="22"/>
          <w:szCs w:val="22"/>
        </w:rPr>
        <w:t>487.612</w:t>
      </w:r>
      <w:r w:rsidRPr="005F54C2">
        <w:rPr>
          <w:rFonts w:ascii="Arial" w:hAnsi="Arial" w:cs="Arial"/>
          <w:noProof/>
          <w:sz w:val="22"/>
          <w:szCs w:val="22"/>
        </w:rPr>
        <w:t>,00</w:t>
      </w:r>
      <w:r w:rsidR="00B139E8">
        <w:rPr>
          <w:rFonts w:ascii="Arial" w:hAnsi="Arial" w:cs="Arial"/>
          <w:noProof/>
          <w:sz w:val="22"/>
          <w:szCs w:val="22"/>
        </w:rPr>
        <w:t>; relativamente al 2016 l’ammontaredelle risorse destinate verrà definito con successivo decreto direttoriale.</w:t>
      </w:r>
    </w:p>
    <w:p w14:paraId="5F8165DD" w14:textId="77777777" w:rsidR="00C530E6" w:rsidRDefault="00C530E6" w:rsidP="00C530E6">
      <w:pPr>
        <w:jc w:val="center"/>
        <w:rPr>
          <w:rFonts w:ascii="Arial" w:hAnsi="Arial" w:cs="Arial"/>
          <w:sz w:val="22"/>
          <w:szCs w:val="22"/>
        </w:rPr>
      </w:pPr>
    </w:p>
    <w:p w14:paraId="022DB604" w14:textId="77777777" w:rsidR="00C530E6" w:rsidRDefault="00C530E6" w:rsidP="00C530E6">
      <w:pPr>
        <w:jc w:val="center"/>
        <w:rPr>
          <w:rFonts w:ascii="Arial" w:hAnsi="Arial" w:cs="Arial"/>
          <w:sz w:val="22"/>
          <w:szCs w:val="22"/>
        </w:rPr>
      </w:pPr>
    </w:p>
    <w:p w14:paraId="2EAC6C0E" w14:textId="77777777" w:rsidR="00C530E6" w:rsidRDefault="00BA2CF9" w:rsidP="00C530E6">
      <w:pPr>
        <w:jc w:val="center"/>
        <w:rPr>
          <w:rFonts w:ascii="Arial" w:hAnsi="Arial" w:cs="Arial"/>
          <w:sz w:val="22"/>
          <w:szCs w:val="22"/>
        </w:rPr>
      </w:pPr>
      <w:r>
        <w:rPr>
          <w:rFonts w:ascii="Arial" w:hAnsi="Arial" w:cs="Arial"/>
          <w:sz w:val="22"/>
          <w:szCs w:val="22"/>
        </w:rPr>
        <w:t>Art. 6</w:t>
      </w:r>
    </w:p>
    <w:p w14:paraId="27BA1C32" w14:textId="77777777" w:rsidR="00C530E6" w:rsidRDefault="00C530E6" w:rsidP="00C530E6">
      <w:pPr>
        <w:jc w:val="center"/>
        <w:rPr>
          <w:rFonts w:ascii="Arial" w:hAnsi="Arial" w:cs="Arial"/>
          <w:sz w:val="22"/>
          <w:szCs w:val="22"/>
        </w:rPr>
      </w:pPr>
      <w:r>
        <w:rPr>
          <w:rFonts w:ascii="Arial" w:hAnsi="Arial" w:cs="Arial"/>
          <w:sz w:val="22"/>
          <w:szCs w:val="22"/>
        </w:rPr>
        <w:t>(durata)</w:t>
      </w:r>
    </w:p>
    <w:p w14:paraId="29D8831B" w14:textId="77777777" w:rsidR="00C530E6" w:rsidRDefault="00C530E6" w:rsidP="00C530E6">
      <w:pPr>
        <w:jc w:val="center"/>
        <w:rPr>
          <w:rFonts w:ascii="Arial" w:hAnsi="Arial" w:cs="Arial"/>
          <w:sz w:val="22"/>
          <w:szCs w:val="22"/>
        </w:rPr>
      </w:pPr>
    </w:p>
    <w:p w14:paraId="722A6D96" w14:textId="77777777" w:rsidR="00C530E6" w:rsidRPr="00797E19" w:rsidRDefault="00C530E6" w:rsidP="00C530E6">
      <w:pPr>
        <w:pStyle w:val="Paragrafoelenco"/>
        <w:numPr>
          <w:ilvl w:val="0"/>
          <w:numId w:val="19"/>
        </w:numPr>
        <w:jc w:val="both"/>
        <w:rPr>
          <w:rFonts w:ascii="Arial" w:hAnsi="Arial" w:cs="Arial"/>
          <w:sz w:val="22"/>
          <w:szCs w:val="22"/>
        </w:rPr>
      </w:pPr>
      <w:r w:rsidRPr="00797E19">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14:paraId="60BAF7F8" w14:textId="77777777" w:rsidR="00C530E6" w:rsidRDefault="00C530E6" w:rsidP="00C530E6">
      <w:pPr>
        <w:jc w:val="center"/>
        <w:rPr>
          <w:rFonts w:ascii="Arial" w:hAnsi="Arial" w:cs="Arial"/>
          <w:sz w:val="22"/>
          <w:szCs w:val="22"/>
        </w:rPr>
      </w:pPr>
    </w:p>
    <w:p w14:paraId="73333C3F" w14:textId="77777777" w:rsidR="00FB5BF7" w:rsidRDefault="00FB5BF7" w:rsidP="00C530E6">
      <w:pPr>
        <w:jc w:val="center"/>
        <w:rPr>
          <w:rFonts w:ascii="Arial" w:hAnsi="Arial" w:cs="Arial"/>
          <w:sz w:val="22"/>
          <w:szCs w:val="22"/>
        </w:rPr>
      </w:pPr>
    </w:p>
    <w:p w14:paraId="7FC7D542" w14:textId="77777777" w:rsidR="00C530E6" w:rsidRPr="00B372C4" w:rsidRDefault="00C530E6" w:rsidP="00C530E6">
      <w:pPr>
        <w:pStyle w:val="Standard"/>
        <w:jc w:val="both"/>
        <w:rPr>
          <w:rFonts w:ascii="Arial" w:hAnsi="Arial" w:cs="Arial"/>
          <w:sz w:val="22"/>
          <w:szCs w:val="22"/>
        </w:rPr>
      </w:pPr>
    </w:p>
    <w:p w14:paraId="304D41F5" w14:textId="77777777" w:rsidR="00C530E6" w:rsidRDefault="00C530E6" w:rsidP="00C530E6">
      <w:pPr>
        <w:pStyle w:val="Standard"/>
        <w:jc w:val="both"/>
        <w:rPr>
          <w:rFonts w:ascii="Arial" w:hAnsi="Arial" w:cs="Arial"/>
          <w:sz w:val="22"/>
          <w:szCs w:val="22"/>
        </w:rPr>
      </w:pPr>
      <w:r>
        <w:rPr>
          <w:rFonts w:ascii="Arial" w:hAnsi="Arial" w:cs="Arial"/>
          <w:sz w:val="22"/>
          <w:szCs w:val="22"/>
        </w:rPr>
        <w:t>Roma,………………….</w:t>
      </w:r>
    </w:p>
    <w:p w14:paraId="1EE82CF2" w14:textId="77777777" w:rsidR="00C530E6" w:rsidRDefault="00C530E6" w:rsidP="00C530E6">
      <w:pPr>
        <w:pStyle w:val="Standard"/>
        <w:jc w:val="both"/>
        <w:rPr>
          <w:rFonts w:ascii="Arial" w:hAnsi="Arial" w:cs="Arial"/>
          <w:sz w:val="22"/>
          <w:szCs w:val="22"/>
        </w:rPr>
      </w:pPr>
    </w:p>
    <w:p w14:paraId="717566A6" w14:textId="77777777" w:rsidR="00FB5BF7" w:rsidRDefault="00FB5BF7" w:rsidP="00C530E6">
      <w:pPr>
        <w:pStyle w:val="Standard"/>
        <w:jc w:val="both"/>
        <w:rPr>
          <w:rFonts w:ascii="Arial" w:hAnsi="Arial" w:cs="Arial"/>
          <w:sz w:val="22"/>
          <w:szCs w:val="22"/>
        </w:rPr>
      </w:pPr>
    </w:p>
    <w:p w14:paraId="3FEFF267" w14:textId="77777777" w:rsidR="00FB5BF7" w:rsidRDefault="00FB5BF7" w:rsidP="00C530E6">
      <w:pPr>
        <w:pStyle w:val="Standard"/>
        <w:jc w:val="both"/>
        <w:rPr>
          <w:rFonts w:ascii="Arial" w:hAnsi="Arial" w:cs="Arial"/>
          <w:sz w:val="22"/>
          <w:szCs w:val="22"/>
        </w:rPr>
      </w:pPr>
    </w:p>
    <w:p w14:paraId="4AB2C131" w14:textId="77777777" w:rsidR="0025617B" w:rsidRDefault="0025617B" w:rsidP="0025617B">
      <w:pPr>
        <w:pStyle w:val="Standard"/>
        <w:rPr>
          <w:rFonts w:ascii="Arial" w:hAnsi="Arial" w:cs="Arial"/>
          <w:sz w:val="22"/>
          <w:szCs w:val="22"/>
        </w:rPr>
      </w:pPr>
    </w:p>
    <w:tbl>
      <w:tblPr>
        <w:tblStyle w:val="Grigliatabella"/>
        <w:tblpPr w:leftFromText="141" w:rightFromText="141" w:vertAnchor="page" w:horzAnchor="margin" w:tblpXSpec="right" w:tblpY="108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2"/>
      </w:tblGrid>
      <w:tr w:rsidR="00FB5BF7" w14:paraId="4D82D60B" w14:textId="77777777" w:rsidTr="00FB5BF7">
        <w:trPr>
          <w:trHeight w:val="917"/>
        </w:trPr>
        <w:tc>
          <w:tcPr>
            <w:tcW w:w="3532" w:type="dxa"/>
          </w:tcPr>
          <w:p w14:paraId="3F46127B" w14:textId="77777777" w:rsidR="00FB5BF7" w:rsidRPr="00872871" w:rsidRDefault="00FB5BF7" w:rsidP="00FB5BF7">
            <w:pPr>
              <w:pStyle w:val="Standard"/>
              <w:jc w:val="center"/>
              <w:rPr>
                <w:rFonts w:ascii="Arial" w:hAnsi="Arial" w:cs="Arial"/>
                <w:noProof/>
                <w:sz w:val="22"/>
                <w:szCs w:val="22"/>
              </w:rPr>
            </w:pPr>
            <w:r w:rsidRPr="00872871">
              <w:rPr>
                <w:rFonts w:ascii="Arial" w:hAnsi="Arial" w:cs="Arial"/>
                <w:noProof/>
                <w:sz w:val="22"/>
                <w:szCs w:val="22"/>
              </w:rPr>
              <w:t>Regione Lombardia</w:t>
            </w:r>
          </w:p>
          <w:p w14:paraId="7E3FCBC7" w14:textId="77777777" w:rsidR="00FB5BF7" w:rsidRPr="00872871" w:rsidRDefault="00FB5BF7" w:rsidP="00FB5BF7">
            <w:pPr>
              <w:pStyle w:val="Standard"/>
              <w:jc w:val="center"/>
              <w:rPr>
                <w:rFonts w:ascii="Arial" w:hAnsi="Arial" w:cs="Arial"/>
                <w:noProof/>
                <w:sz w:val="22"/>
                <w:szCs w:val="22"/>
              </w:rPr>
            </w:pPr>
            <w:r w:rsidRPr="00872871">
              <w:rPr>
                <w:rFonts w:ascii="Arial" w:hAnsi="Arial" w:cs="Arial"/>
                <w:noProof/>
                <w:sz w:val="22"/>
                <w:szCs w:val="22"/>
              </w:rPr>
              <w:t>L’Assessore all’Istruzione, Formazione e Lavoro.</w:t>
            </w:r>
          </w:p>
          <w:p w14:paraId="70797BFD" w14:textId="77777777" w:rsidR="00FB5BF7" w:rsidRDefault="00FB5BF7" w:rsidP="00FB5BF7">
            <w:pPr>
              <w:jc w:val="center"/>
              <w:rPr>
                <w:rFonts w:ascii="Arial" w:hAnsi="Arial" w:cs="Arial"/>
                <w:sz w:val="22"/>
                <w:szCs w:val="22"/>
              </w:rPr>
            </w:pPr>
            <w:r w:rsidRPr="00872871">
              <w:rPr>
                <w:rFonts w:ascii="Arial" w:hAnsi="Arial" w:cs="Arial"/>
                <w:i/>
                <w:noProof/>
                <w:sz w:val="22"/>
                <w:szCs w:val="22"/>
              </w:rPr>
              <w:t>Valentina Aprea</w:t>
            </w:r>
          </w:p>
          <w:p w14:paraId="7F968BEC" w14:textId="77777777" w:rsidR="00FB5BF7" w:rsidRDefault="00FB5BF7" w:rsidP="00FB5BF7">
            <w:pPr>
              <w:pStyle w:val="Standard"/>
              <w:jc w:val="center"/>
              <w:rPr>
                <w:rFonts w:ascii="Arial" w:hAnsi="Arial" w:cs="Arial"/>
                <w:noProof/>
                <w:sz w:val="22"/>
                <w:szCs w:val="22"/>
                <w:highlight w:val="green"/>
              </w:rPr>
            </w:pPr>
          </w:p>
        </w:tc>
      </w:tr>
    </w:tbl>
    <w:tbl>
      <w:tblPr>
        <w:tblStyle w:val="Grigliatabella"/>
        <w:tblpPr w:leftFromText="141" w:rightFromText="141" w:vertAnchor="page" w:horzAnchor="margin" w:tblpY="109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0"/>
      </w:tblGrid>
      <w:tr w:rsidR="00FB5BF7" w14:paraId="7D7AF77D" w14:textId="77777777" w:rsidTr="00FB5BF7">
        <w:trPr>
          <w:trHeight w:val="339"/>
        </w:trPr>
        <w:tc>
          <w:tcPr>
            <w:tcW w:w="3000" w:type="dxa"/>
          </w:tcPr>
          <w:p w14:paraId="2AEF94AF" w14:textId="77777777" w:rsidR="00FB5BF7" w:rsidRDefault="00FB5BF7" w:rsidP="00FB5BF7">
            <w:pPr>
              <w:pStyle w:val="Standard"/>
              <w:jc w:val="center"/>
              <w:rPr>
                <w:rFonts w:ascii="Arial" w:hAnsi="Arial" w:cs="Arial"/>
                <w:sz w:val="22"/>
                <w:szCs w:val="22"/>
              </w:rPr>
            </w:pPr>
            <w:r>
              <w:rPr>
                <w:rFonts w:ascii="Arial" w:hAnsi="Arial" w:cs="Arial"/>
                <w:sz w:val="22"/>
                <w:szCs w:val="22"/>
              </w:rPr>
              <w:t xml:space="preserve">Ministero del lavoro e delle politiche sociali </w:t>
            </w:r>
          </w:p>
          <w:p w14:paraId="4427D700" w14:textId="77777777" w:rsidR="00FB5BF7" w:rsidRDefault="00FB5BF7" w:rsidP="00FB5BF7">
            <w:pPr>
              <w:pStyle w:val="Standard"/>
              <w:jc w:val="center"/>
              <w:rPr>
                <w:rFonts w:ascii="Arial" w:hAnsi="Arial" w:cs="Arial"/>
                <w:noProof/>
                <w:sz w:val="22"/>
                <w:szCs w:val="22"/>
                <w:highlight w:val="green"/>
              </w:rPr>
            </w:pPr>
            <w:r>
              <w:rPr>
                <w:rFonts w:ascii="Arial" w:hAnsi="Arial" w:cs="Arial"/>
                <w:noProof/>
                <w:sz w:val="22"/>
                <w:szCs w:val="22"/>
              </w:rPr>
              <w:t xml:space="preserve"> Il Sottosegretario di Stato</w:t>
            </w:r>
          </w:p>
          <w:p w14:paraId="476FFFE4" w14:textId="77777777" w:rsidR="00FB5BF7" w:rsidRDefault="00FB5BF7" w:rsidP="00FB5BF7">
            <w:pPr>
              <w:pStyle w:val="Standard"/>
              <w:jc w:val="center"/>
              <w:rPr>
                <w:rFonts w:ascii="Arial" w:hAnsi="Arial" w:cs="Arial"/>
                <w:noProof/>
                <w:sz w:val="22"/>
                <w:szCs w:val="22"/>
              </w:rPr>
            </w:pPr>
            <w:r w:rsidRPr="00BA2CF9">
              <w:rPr>
                <w:rFonts w:ascii="Arial" w:hAnsi="Arial" w:cs="Arial"/>
                <w:i/>
                <w:noProof/>
                <w:sz w:val="22"/>
                <w:szCs w:val="22"/>
              </w:rPr>
              <w:t>Luigi Bobba</w:t>
            </w:r>
            <w:r w:rsidRPr="0025617B">
              <w:rPr>
                <w:rFonts w:ascii="Arial" w:hAnsi="Arial" w:cs="Arial"/>
                <w:noProof/>
                <w:sz w:val="22"/>
                <w:szCs w:val="22"/>
                <w:highlight w:val="green"/>
              </w:rPr>
              <w:t xml:space="preserve"> </w:t>
            </w:r>
          </w:p>
          <w:p w14:paraId="2EB8AABE" w14:textId="77777777" w:rsidR="00FB5BF7" w:rsidRDefault="00FB5BF7" w:rsidP="00FB5BF7">
            <w:pPr>
              <w:pStyle w:val="Standard"/>
              <w:jc w:val="center"/>
              <w:rPr>
                <w:rFonts w:ascii="Arial" w:hAnsi="Arial" w:cs="Arial"/>
                <w:noProof/>
                <w:sz w:val="22"/>
                <w:szCs w:val="22"/>
                <w:highlight w:val="green"/>
              </w:rPr>
            </w:pPr>
          </w:p>
        </w:tc>
      </w:tr>
    </w:tbl>
    <w:p w14:paraId="201B6086" w14:textId="69BCCF45" w:rsidR="00517333" w:rsidRPr="00517333" w:rsidRDefault="00517333" w:rsidP="00517333">
      <w:pPr>
        <w:pStyle w:val="Standard"/>
        <w:rPr>
          <w:rFonts w:ascii="Arial" w:hAnsi="Arial" w:cs="Arial"/>
          <w:i/>
          <w:sz w:val="22"/>
          <w:szCs w:val="22"/>
        </w:rPr>
      </w:pPr>
      <w:r>
        <w:rPr>
          <w:rFonts w:ascii="Arial" w:hAnsi="Arial" w:cs="Arial"/>
          <w:sz w:val="22"/>
          <w:szCs w:val="22"/>
        </w:rPr>
        <w:tab/>
      </w:r>
    </w:p>
    <w:p w14:paraId="5552A934" w14:textId="2E55F46D" w:rsidR="00517333" w:rsidRDefault="00517333" w:rsidP="00517333">
      <w:pPr>
        <w:pStyle w:val="Standard"/>
        <w:jc w:val="both"/>
        <w:rPr>
          <w:rFonts w:ascii="Arial" w:hAnsi="Arial" w:cs="Arial"/>
          <w:noProof/>
          <w:sz w:val="22"/>
          <w:szCs w:val="22"/>
        </w:rPr>
      </w:pPr>
    </w:p>
    <w:p w14:paraId="5F321664" w14:textId="16953F65" w:rsidR="00517333" w:rsidRPr="00BA2CF9" w:rsidRDefault="00517333" w:rsidP="00FB5BF7">
      <w:pPr>
        <w:pStyle w:val="Standard"/>
        <w:jc w:val="both"/>
        <w:rPr>
          <w:rFonts w:ascii="Arial" w:hAnsi="Arial" w:cs="Arial"/>
          <w:i/>
          <w:sz w:val="22"/>
          <w:szCs w:val="22"/>
        </w:rPr>
      </w:pPr>
    </w:p>
    <w:sectPr w:rsidR="00517333" w:rsidRPr="00BA2CF9" w:rsidSect="00C665F0">
      <w:footerReference w:type="default" r:id="rId10"/>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24D35" w14:textId="77777777" w:rsidR="00444589" w:rsidRDefault="00444589" w:rsidP="00452869">
      <w:pPr>
        <w:rPr>
          <w:rFonts w:hint="eastAsia"/>
        </w:rPr>
      </w:pPr>
      <w:r>
        <w:separator/>
      </w:r>
    </w:p>
  </w:endnote>
  <w:endnote w:type="continuationSeparator" w:id="0">
    <w:p w14:paraId="3E91E4CD" w14:textId="77777777" w:rsidR="00444589" w:rsidRDefault="00444589"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14:paraId="7BA3EB58" w14:textId="77777777" w:rsidR="00157FBE" w:rsidRDefault="00157FBE">
        <w:pPr>
          <w:pStyle w:val="Pidipagina"/>
          <w:jc w:val="right"/>
          <w:rPr>
            <w:rFonts w:hint="eastAsia"/>
          </w:rPr>
        </w:pPr>
        <w:r>
          <w:fldChar w:fldCharType="begin"/>
        </w:r>
        <w:r>
          <w:instrText>PAGE   \* MERGEFORMAT</w:instrText>
        </w:r>
        <w:r>
          <w:fldChar w:fldCharType="separate"/>
        </w:r>
        <w:r w:rsidR="007D42EF">
          <w:rPr>
            <w:rFonts w:hint="eastAsia"/>
            <w:noProof/>
          </w:rPr>
          <w:t>2</w:t>
        </w:r>
        <w:r>
          <w:rPr>
            <w:noProof/>
          </w:rPr>
          <w:fldChar w:fldCharType="end"/>
        </w:r>
      </w:p>
    </w:sdtContent>
  </w:sdt>
  <w:p w14:paraId="5A889371" w14:textId="77777777" w:rsidR="00157FBE" w:rsidRDefault="00157FBE">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21F1F" w14:textId="77777777" w:rsidR="00444589" w:rsidRDefault="00444589" w:rsidP="00452869">
      <w:pPr>
        <w:rPr>
          <w:rFonts w:hint="eastAsia"/>
        </w:rPr>
      </w:pPr>
      <w:r>
        <w:separator/>
      </w:r>
    </w:p>
  </w:footnote>
  <w:footnote w:type="continuationSeparator" w:id="0">
    <w:p w14:paraId="3BD7CC97" w14:textId="77777777" w:rsidR="00444589" w:rsidRDefault="00444589"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FD1207"/>
    <w:multiLevelType w:val="hybridMultilevel"/>
    <w:tmpl w:val="A04C35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42C0009"/>
    <w:multiLevelType w:val="hybridMultilevel"/>
    <w:tmpl w:val="3190CF3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7">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2">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0"/>
  </w:num>
  <w:num w:numId="3">
    <w:abstractNumId w:val="6"/>
  </w:num>
  <w:num w:numId="4">
    <w:abstractNumId w:val="15"/>
  </w:num>
  <w:num w:numId="5">
    <w:abstractNumId w:val="2"/>
  </w:num>
  <w:num w:numId="6">
    <w:abstractNumId w:val="3"/>
  </w:num>
  <w:num w:numId="7">
    <w:abstractNumId w:val="19"/>
  </w:num>
  <w:num w:numId="8">
    <w:abstractNumId w:val="4"/>
  </w:num>
  <w:num w:numId="9">
    <w:abstractNumId w:val="22"/>
  </w:num>
  <w:num w:numId="10">
    <w:abstractNumId w:val="8"/>
  </w:num>
  <w:num w:numId="11">
    <w:abstractNumId w:val="18"/>
  </w:num>
  <w:num w:numId="12">
    <w:abstractNumId w:val="14"/>
  </w:num>
  <w:num w:numId="13">
    <w:abstractNumId w:val="13"/>
  </w:num>
  <w:num w:numId="14">
    <w:abstractNumId w:val="11"/>
  </w:num>
  <w:num w:numId="15">
    <w:abstractNumId w:val="7"/>
  </w:num>
  <w:num w:numId="16">
    <w:abstractNumId w:val="1"/>
  </w:num>
  <w:num w:numId="17">
    <w:abstractNumId w:val="23"/>
  </w:num>
  <w:num w:numId="18">
    <w:abstractNumId w:val="0"/>
  </w:num>
  <w:num w:numId="19">
    <w:abstractNumId w:val="17"/>
  </w:num>
  <w:num w:numId="20">
    <w:abstractNumId w:val="10"/>
  </w:num>
  <w:num w:numId="21">
    <w:abstractNumId w:val="16"/>
  </w:num>
  <w:num w:numId="22">
    <w:abstractNumId w:val="21"/>
  </w:num>
  <w:num w:numId="23">
    <w:abstractNumId w:val="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43090"/>
    <w:rsid w:val="000613B3"/>
    <w:rsid w:val="00070A2F"/>
    <w:rsid w:val="001057DB"/>
    <w:rsid w:val="00144E88"/>
    <w:rsid w:val="00157FBE"/>
    <w:rsid w:val="001607B5"/>
    <w:rsid w:val="00190852"/>
    <w:rsid w:val="001F18C7"/>
    <w:rsid w:val="00201729"/>
    <w:rsid w:val="0025617B"/>
    <w:rsid w:val="002E726A"/>
    <w:rsid w:val="002E7644"/>
    <w:rsid w:val="00311BB6"/>
    <w:rsid w:val="00342302"/>
    <w:rsid w:val="003663A3"/>
    <w:rsid w:val="00386086"/>
    <w:rsid w:val="00391365"/>
    <w:rsid w:val="003A7E11"/>
    <w:rsid w:val="003E46D5"/>
    <w:rsid w:val="004149F2"/>
    <w:rsid w:val="00422BA2"/>
    <w:rsid w:val="00437856"/>
    <w:rsid w:val="00444589"/>
    <w:rsid w:val="00452869"/>
    <w:rsid w:val="00485BF2"/>
    <w:rsid w:val="00487936"/>
    <w:rsid w:val="004950F8"/>
    <w:rsid w:val="004C314B"/>
    <w:rsid w:val="004C58DC"/>
    <w:rsid w:val="004D760C"/>
    <w:rsid w:val="00501CCF"/>
    <w:rsid w:val="00517333"/>
    <w:rsid w:val="00521689"/>
    <w:rsid w:val="0054063E"/>
    <w:rsid w:val="00544C39"/>
    <w:rsid w:val="00551009"/>
    <w:rsid w:val="0056189A"/>
    <w:rsid w:val="0059479E"/>
    <w:rsid w:val="005977AB"/>
    <w:rsid w:val="005A438D"/>
    <w:rsid w:val="005B24A1"/>
    <w:rsid w:val="005C078A"/>
    <w:rsid w:val="00631707"/>
    <w:rsid w:val="00640B28"/>
    <w:rsid w:val="006B14A8"/>
    <w:rsid w:val="006E5E0C"/>
    <w:rsid w:val="006F5294"/>
    <w:rsid w:val="00716009"/>
    <w:rsid w:val="00751EE8"/>
    <w:rsid w:val="00783128"/>
    <w:rsid w:val="00796F98"/>
    <w:rsid w:val="00797E19"/>
    <w:rsid w:val="007A7CA8"/>
    <w:rsid w:val="007C5E67"/>
    <w:rsid w:val="007D42EF"/>
    <w:rsid w:val="007E0E98"/>
    <w:rsid w:val="00806D06"/>
    <w:rsid w:val="00820BB8"/>
    <w:rsid w:val="00830BF2"/>
    <w:rsid w:val="008672C9"/>
    <w:rsid w:val="00872871"/>
    <w:rsid w:val="008B68CD"/>
    <w:rsid w:val="00920BEC"/>
    <w:rsid w:val="00945573"/>
    <w:rsid w:val="00953936"/>
    <w:rsid w:val="009732F3"/>
    <w:rsid w:val="009E3D6E"/>
    <w:rsid w:val="00A2076E"/>
    <w:rsid w:val="00A27EE5"/>
    <w:rsid w:val="00A40640"/>
    <w:rsid w:val="00A81E9B"/>
    <w:rsid w:val="00AA308E"/>
    <w:rsid w:val="00AA3E82"/>
    <w:rsid w:val="00AA4A5A"/>
    <w:rsid w:val="00AE3BA1"/>
    <w:rsid w:val="00B139E8"/>
    <w:rsid w:val="00B517C8"/>
    <w:rsid w:val="00B83184"/>
    <w:rsid w:val="00BA2CF9"/>
    <w:rsid w:val="00BD5EFC"/>
    <w:rsid w:val="00BF4743"/>
    <w:rsid w:val="00C01A2E"/>
    <w:rsid w:val="00C530E6"/>
    <w:rsid w:val="00C665F0"/>
    <w:rsid w:val="00C76A25"/>
    <w:rsid w:val="00C82378"/>
    <w:rsid w:val="00CB3D2A"/>
    <w:rsid w:val="00CF3D07"/>
    <w:rsid w:val="00D13C9C"/>
    <w:rsid w:val="00D3658B"/>
    <w:rsid w:val="00D44627"/>
    <w:rsid w:val="00D60387"/>
    <w:rsid w:val="00DB031E"/>
    <w:rsid w:val="00DF225B"/>
    <w:rsid w:val="00DF705A"/>
    <w:rsid w:val="00E41EC0"/>
    <w:rsid w:val="00E75F6E"/>
    <w:rsid w:val="00F52B43"/>
    <w:rsid w:val="00F677EB"/>
    <w:rsid w:val="00FB5BF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BD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BA2CF9"/>
    <w:pPr>
      <w:numPr>
        <w:numId w:val="21"/>
      </w:numPr>
    </w:pPr>
  </w:style>
  <w:style w:type="numbering" w:customStyle="1" w:styleId="Elenco21">
    <w:name w:val="Elenco 21"/>
    <w:basedOn w:val="Nessunelenco"/>
    <w:rsid w:val="00BA2CF9"/>
    <w:pPr>
      <w:numPr>
        <w:numId w:val="22"/>
      </w:numPr>
    </w:pPr>
  </w:style>
  <w:style w:type="table" w:styleId="Grigliatabella">
    <w:name w:val="Table Grid"/>
    <w:basedOn w:val="Tabellanormale"/>
    <w:uiPriority w:val="59"/>
    <w:rsid w:val="00517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BA2CF9"/>
    <w:pPr>
      <w:numPr>
        <w:numId w:val="21"/>
      </w:numPr>
    </w:pPr>
  </w:style>
  <w:style w:type="numbering" w:customStyle="1" w:styleId="Elenco21">
    <w:name w:val="Elenco 21"/>
    <w:basedOn w:val="Nessunelenco"/>
    <w:rsid w:val="00BA2CF9"/>
    <w:pPr>
      <w:numPr>
        <w:numId w:val="22"/>
      </w:numPr>
    </w:pPr>
  </w:style>
  <w:style w:type="table" w:styleId="Grigliatabella">
    <w:name w:val="Table Grid"/>
    <w:basedOn w:val="Tabellanormale"/>
    <w:uiPriority w:val="59"/>
    <w:rsid w:val="00517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976</Words>
  <Characters>5569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2015-12-03T06:18:00Z</cp:lastPrinted>
  <dcterms:created xsi:type="dcterms:W3CDTF">2016-01-14T13:17:00Z</dcterms:created>
  <dcterms:modified xsi:type="dcterms:W3CDTF">2016-01-14T13:17:00Z</dcterms:modified>
</cp:coreProperties>
</file>